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Device</w:t>
      </w:r>
      <w:r>
        <w:t xml:space="preserve"> </w:t>
      </w:r>
      <w:r>
        <w:t xml:space="preserve">(tykzixwkll)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tykzixwkll (Smart Home Device)</w:t>
      </w:r>
    </w:p>
    <w:p>
      <w:pPr>
        <w:pStyle w:val="BodyText"/>
      </w:pPr>
      <w:r>
        <w:rPr>
          <w:bCs/>
          <w:b/>
        </w:rPr>
        <w:t xml:space="preserve">Company Name:</w:t>
      </w:r>
      <w:r>
        <w:t xml:space="preserve"> </w:t>
      </w:r>
      <w:r>
        <w:t xml:space="preserve">lkjipevmsz (Global Tech Solutions)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mmnhgflfme (Dr. Anya Sharma)</w:t>
      </w:r>
    </w:p>
    <w:p>
      <w:pPr>
        <w:pStyle w:val="BodyText"/>
      </w:pPr>
      <w:r>
        <w:t xml:space="preserve">Disclaimer: This report is generated based on available data and industry standards, employing illustrative data for specific parameters where generic placeholders were provided in the input. While every effort has been made to ensure accuracy based on the provided parameters, real-world data collection would involve more specific primary data.</w:t>
      </w:r>
    </w:p>
    <w:bookmarkEnd w:id="20"/>
    <w:p>
      <w:r>
        <w:pict>
          <v:rect style="width:0;height:1.5pt" o:hralign="center" o:hrstd="t" o:hr="t"/>
        </w:pict>
      </w:r>
    </w:p>
    <w:bookmarkStart w:id="39"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4, 2026</w:t>
      </w:r>
    </w:p>
    <w:p>
      <w:pPr>
        <w:pStyle w:val="BodyText"/>
      </w:pPr>
      <w:r>
        <w:rPr>
          <w:bCs/>
          <w:b/>
        </w:rPr>
        <w:t xml:space="preserve">Prepared For:</w:t>
      </w:r>
      <w:r>
        <w:t xml:space="preserve"> </w:t>
      </w:r>
      <w:r>
        <w:t xml:space="preserve">lkjipevmsz (Global Tech Solutions)</w:t>
      </w:r>
    </w:p>
    <w:p>
      <w:pPr>
        <w:pStyle w:val="BodyText"/>
      </w:pPr>
      <w:r>
        <w:rPr>
          <w:bCs/>
          <w:b/>
        </w:rPr>
        <w:t xml:space="preserve">Prepared By:</w:t>
      </w:r>
      <w:r>
        <w:t xml:space="preserve"> </w:t>
      </w:r>
      <w:r>
        <w:t xml:space="preserve">mmnhgflfme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tykzixwkll (Smart Home Device), manufactured by lkjipevmsz (Global Tech Solutions). The analysis, conducted by Senior Sustainability Consultant mmnhgflfme, adheres strictly to the GHG Protocol, incorporating the 2026 Land Sector and Removals (LSR) Standard and ensuring at least 95% coverage for Scope 3 emissions. The functional unit for this study is 1.0 unit of tykzixwkll, with a system boundary defined as "factory_gate" for the initial assessment and expanding to cover the full lifecycle. The geographic scope focuses on final production in China with a supply chain focus on Europe. Key findings highlight emissions hotspots across the product\'s lifecycle, from material sourcing and production to use and end-of-life phases, providing a foundation for strategic emission reduction efforts.</w:t>
      </w:r>
    </w:p>
    <w:p>
      <w:r>
        <w:pict>
          <v:rect style="width:0;height:1.5pt" o:hralign="center" o:hrstd="t" o:hr="t"/>
        </w:pict>
      </w:r>
    </w:p>
    <w:bookmarkEnd w:id="21"/>
    <w:bookmarkStart w:id="22" w:name="methodology"/>
    <w:p>
      <w:pPr>
        <w:pStyle w:val="Heading2"/>
      </w:pPr>
      <w:r>
        <w:t xml:space="preserve">Methodology</w:t>
      </w:r>
    </w:p>
    <w:p>
      <w:pPr>
        <w:pStyle w:val="FirstParagraph"/>
      </w:pPr>
      <w:r>
        <w:t xml:space="preserve">The Product Carbon Footprint analysis for tykzixwkll followed a five-step methodology in accordance with the GHG Protocol Product Standard:</w:t>
      </w:r>
    </w:p>
    <w:p>
      <w:pPr>
        <w:numPr>
          <w:ilvl w:val="0"/>
          <w:numId w:val="1001"/>
        </w:numPr>
        <w:pStyle w:val="Compact"/>
      </w:pPr>
      <w:r>
        <w:rPr>
          <w:bCs/>
          <w:b/>
        </w:rPr>
        <w:t xml:space="preserve">Define Scope:</w:t>
      </w:r>
      <w:r>
        <w:t xml:space="preserve"> </w:t>
      </w:r>
      <w:r>
        <w:t xml:space="preserve">This involved establishing the functional unit, system boundaries (cradle-to-grave where feasible, with a "factory_gate" initial boundary), geographic scope, and allocation rules.</w:t>
      </w:r>
    </w:p>
    <w:p>
      <w:pPr>
        <w:numPr>
          <w:ilvl w:val="0"/>
          <w:numId w:val="1001"/>
        </w:numPr>
        <w:pStyle w:val="Compact"/>
      </w:pPr>
      <w:r>
        <w:rPr>
          <w:bCs/>
          <w:b/>
        </w:rPr>
        <w:t xml:space="preserve">Map Lifecycle:</w:t>
      </w:r>
      <w:r>
        <w:t xml:space="preserve"> </w:t>
      </w:r>
      <w:r>
        <w:t xml:space="preserve">Detailed mapping of all relevant life cycle inventory (LCI) stages was performed, from raw material extraction to end-of-life management.</w:t>
      </w:r>
    </w:p>
    <w:p>
      <w:pPr>
        <w:numPr>
          <w:ilvl w:val="0"/>
          <w:numId w:val="1001"/>
        </w:numPr>
        <w:pStyle w:val="Compact"/>
      </w:pPr>
      <w:r>
        <w:rPr>
          <w:bCs/>
          <w:b/>
        </w:rPr>
        <w:t xml:space="preserve">Collect Data:</w:t>
      </w:r>
      <w:r>
        <w:t xml:space="preserve"> </w:t>
      </w:r>
      <w:r>
        <w:t xml:space="preserve">Both primary data (where provided) and secondary data (industry-average emission factors) were collected for all identified activities and material inputs.</w:t>
      </w:r>
    </w:p>
    <w:p>
      <w:pPr>
        <w:numPr>
          <w:ilvl w:val="0"/>
          <w:numId w:val="1001"/>
        </w:numPr>
        <w:pStyle w:val="Compact"/>
      </w:pPr>
      <w:r>
        <w:rPr>
          <w:bCs/>
          <w:b/>
        </w:rPr>
        <w:t xml:space="preserve">Calculate Emissions:</w:t>
      </w:r>
      <w:r>
        <w:t xml:space="preserve"> </w:t>
      </w:r>
      <w:r>
        <w:t xml:space="preserve">Emissions were quantified by multiplying activity data (e.g., kWh of electricity, kg of material, km traveled) by appropriate emission factors (Activity * Emission Factor = CO2e). Emissions are categorized into Scope 1, Scope 2, and Scope 3 as per GHG Protocol.</w:t>
      </w:r>
    </w:p>
    <w:p>
      <w:pPr>
        <w:numPr>
          <w:ilvl w:val="0"/>
          <w:numId w:val="1001"/>
        </w:numPr>
        <w:pStyle w:val="Compact"/>
      </w:pPr>
      <w:r>
        <w:rPr>
          <w:bCs/>
          <w:b/>
        </w:rPr>
        <w:t xml:space="preserve">Review &amp; Report:</w:t>
      </w:r>
      <w:r>
        <w:t xml:space="preserve"> </w:t>
      </w:r>
      <w:r>
        <w:t xml:space="preserve">The results were reviewed for completeness, consistency, and accuracy. Hotspots were identified, and reliability of the data and calculations was assessed.</w:t>
      </w:r>
    </w:p>
    <w:p>
      <w:pPr>
        <w:pStyle w:val="FirstParagraph"/>
      </w:pPr>
      <w:r>
        <w:t xml:space="preserve">The accounting standard used for this report is the</w:t>
      </w:r>
      <w:r>
        <w:t xml:space="preserve"> </w:t>
      </w:r>
      <w:r>
        <w:rPr>
          <w:bCs/>
          <w:b/>
        </w:rPr>
        <w:t xml:space="preserve">GHG Protocol</w:t>
      </w:r>
      <w:r>
        <w:t xml:space="preserve">. This analysis incorporates the</w:t>
      </w:r>
      <w:r>
        <w:t xml:space="preserve"> </w:t>
      </w:r>
      <w:r>
        <w:rPr>
          <w:bCs/>
          <w:b/>
        </w:rPr>
        <w:t xml:space="preserve">2026 Land Sector and Removals (LSR) Standard</w:t>
      </w:r>
      <w:r>
        <w:t xml:space="preserve"> </w:t>
      </w:r>
      <w:r>
        <w:t xml:space="preserve">for relevant land use and carbon removal considerations, and ensures</w:t>
      </w:r>
      <w:r>
        <w:t xml:space="preserve"> </w:t>
      </w:r>
      <w:r>
        <w:rPr>
          <w:bCs/>
          <w:b/>
        </w:rPr>
        <w:t xml:space="preserve">at least 95% coverage for Scope 3 reporting</w:t>
      </w:r>
      <w:r>
        <w:t xml:space="preserve">, meeting stringent 2026 requirements.</w:t>
      </w:r>
    </w:p>
    <w:p>
      <w:r>
        <w:pict>
          <v:rect style="width:0;height:1.5pt" o:hralign="center" o:hrstd="t" o:hr="t"/>
        </w:pict>
      </w:r>
    </w:p>
    <w:bookmarkEnd w:id="22"/>
    <w:bookmarkStart w:id="23" w:name="scope-definition"/>
    <w:p>
      <w:pPr>
        <w:pStyle w:val="Heading2"/>
      </w:pPr>
      <w:r>
        <w:t xml:space="preserve">1. Scope Definition</w:t>
      </w:r>
    </w:p>
    <w:p>
      <w:pPr>
        <w:numPr>
          <w:ilvl w:val="0"/>
          <w:numId w:val="1002"/>
        </w:numPr>
        <w:pStyle w:val="Compact"/>
      </w:pPr>
      <w:r>
        <w:rPr>
          <w:bCs/>
          <w:b/>
        </w:rPr>
        <w:t xml:space="preserve">Functional Unit:</w:t>
      </w:r>
      <w:r>
        <w:t xml:space="preserve"> </w:t>
      </w:r>
      <w:r>
        <w:t xml:space="preserve">1.0 unit of tykzixwkll (Smart Home Device)</w:t>
      </w:r>
    </w:p>
    <w:p>
      <w:pPr>
        <w:numPr>
          <w:ilvl w:val="0"/>
          <w:numId w:val="1002"/>
        </w:numPr>
        <w:pStyle w:val="Compact"/>
      </w:pPr>
      <w:r>
        <w:rPr>
          <w:bCs/>
          <w:b/>
        </w:rPr>
        <w:t xml:space="preserve">System Boundary:</w:t>
      </w:r>
      <w:r>
        <w:t xml:space="preserve"> </w:t>
      </w:r>
      <w:r>
        <w:t xml:space="preserve">Cradle-to-grave (covering material acquisition, production, transport, use, and end-of-life), with an initial "factory_gate" focus for production.</w:t>
      </w:r>
    </w:p>
    <w:p>
      <w:pPr>
        <w:numPr>
          <w:ilvl w:val="0"/>
          <w:numId w:val="1002"/>
        </w:numPr>
        <w:pStyle w:val="Compact"/>
      </w:pPr>
      <w:r>
        <w:rPr>
          <w:bCs/>
          <w:b/>
        </w:rPr>
        <w:t xml:space="preserve">Geographic Scope:</w:t>
      </w:r>
      <w:r>
        <w:t xml:space="preserve"> </w:t>
      </w:r>
      <w:r>
        <w:t xml:space="preserve">Final Production Country: China, Supply Chain Focus: Europe Focused (for upstream materials), Product Use: Global (average EU grid mix assumed for illustrative purposes), End-of-Life: Global (based on recyclability).</w:t>
      </w:r>
    </w:p>
    <w:p>
      <w:pPr>
        <w:numPr>
          <w:ilvl w:val="0"/>
          <w:numId w:val="1002"/>
        </w:numPr>
        <w:pStyle w:val="Compact"/>
      </w:pPr>
      <w:r>
        <w:rPr>
          <w:bCs/>
          <w:b/>
        </w:rPr>
        <w:t xml:space="preserve">Accounting Standard:</w:t>
      </w:r>
      <w:r>
        <w:t xml:space="preserve"> </w:t>
      </w:r>
      <w:r>
        <w:t xml:space="preserve">GHG Protocol Product Standard</w:t>
      </w:r>
    </w:p>
    <w:p>
      <w:pPr>
        <w:numPr>
          <w:ilvl w:val="0"/>
          <w:numId w:val="1002"/>
        </w:numPr>
        <w:pStyle w:val="Compact"/>
      </w:pPr>
      <w:r>
        <w:rPr>
          <w:bCs/>
          <w:b/>
        </w:rPr>
        <w:t xml:space="preserve">Allocation:</w:t>
      </w:r>
      <w:r>
        <w:t xml:space="preserve"> </w:t>
      </w:r>
      <w:r>
        <w:t xml:space="preserve">Mass-based allocation is used where co-products or by-products are present, though not explicitly detailed for this product due to input parameters. Recycled content is accounted for using the "recycled content" approach.</w:t>
      </w:r>
    </w:p>
    <w:p>
      <w:r>
        <w:pict>
          <v:rect style="width:0;height:1.5pt" o:hralign="center" o:hrstd="t" o:hr="t"/>
        </w:pict>
      </w:r>
    </w:p>
    <w:bookmarkEnd w:id="23"/>
    <w:bookmarkStart w:id="29" w:name="lifecycle-mapping-3.-data-collection"/>
    <w:p>
      <w:pPr>
        <w:pStyle w:val="Heading2"/>
      </w:pPr>
      <w:r>
        <w:t xml:space="preserve">2. Lifecycle Mapping &amp; 3. Data Collection</w:t>
      </w:r>
    </w:p>
    <w:p>
      <w:pPr>
        <w:pStyle w:val="FirstParagraph"/>
      </w:pPr>
      <w:r>
        <w:t xml:space="preserve">This section details the inputs and activities across the product\'s lifecycle, integrating the provided parameters. Due to the generic nature of some input parameters (e.g., `kjodtuvh`, `Select Mode`, `Delivery Type`, `lshtighmmf`, etc.), illustrative but plausible data has been used for specific calculations, clearly stating assumptions.</w:t>
      </w:r>
    </w:p>
    <w:bookmarkStart w:id="24" w:name="Xbc374b9b819252f363695326adb7c260a28ffa7"/>
    <w:p>
      <w:pPr>
        <w:pStyle w:val="Heading3"/>
      </w:pPr>
      <w:r>
        <w:t xml:space="preserve">Material Acquisition and Pre-processing (Scope 3 - Upstream)</w:t>
      </w:r>
    </w:p>
    <w:p>
      <w:pPr>
        <w:pStyle w:val="FirstParagraph"/>
      </w:pPr>
      <w:r>
        <w:t xml:space="preserve">The Detailed Bill of Materials (BOM) for tykzixwkll is crucial for high-accuracy material impact calculation. The provided BOM data format (ID, Description, Category, Process, Qty, Unit, Emission Factor, Total Carbon) has been leveraged. For illustrative purposes, the following BOM data has been simulated based on the generic placeholder `kjodtuvh` and typical components of a \'Smart Home Device\'. The \'Total Carbon\' values represent the pre-calculated carbon footprint (CO2e) for the specified quantity of each material, incorporating material extraction and pre-processing impacts.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1.50</w:t>
            </w:r>
          </w:p>
        </w:tc>
      </w:tr>
      <w:tr>
        <w:tc>
          <w:tcPr/>
          <w:p>
            <w:pPr>
              <w:pStyle w:val="Compact"/>
              <w:jc w:val="left"/>
            </w:pPr>
            <w:r>
              <w:t xml:space="preserve">M002</w:t>
            </w:r>
          </w:p>
        </w:tc>
        <w:tc>
          <w:tcPr/>
          <w:p>
            <w:pPr>
              <w:pStyle w:val="Compact"/>
              <w:jc w:val="left"/>
            </w:pPr>
            <w:r>
              <w:t xml:space="preserve">Recycled Plastic Shell</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gridSpan w:val="6"/>
          </w:tcPr>
          <w:p>
            <w:pPr>
              <w:pStyle w:val="Compact"/>
              <w:jc w:val="right"/>
            </w:pPr>
            <w:r>
              <w:rPr>
                <w:bCs/>
                <w:b/>
              </w:rPr>
              <w:t xml:space="preserve">Total Material Weight:</w:t>
            </w:r>
          </w:p>
        </w:tc>
        <w:tc>
          <w:tcPr/>
          <w:p>
            <w:pPr>
              <w:pStyle w:val="Compact"/>
              <w:jc w:val="left"/>
            </w:pPr>
            <w:r>
              <w:rPr>
                <w:bCs/>
                <w:b/>
              </w:rPr>
              <w:t xml:space="preserve">0.44 kg</w:t>
            </w:r>
          </w:p>
        </w:tc>
        <w:tc>
          <w:tcPr/>
          <w:p>
            <w:pPr>
              <w:pStyle w:val="Compact"/>
            </w:pPr>
          </w:p>
        </w:tc>
      </w:tr>
      <w:tr>
        <w:tc>
          <w:tcPr>
            <w:gridSpan w:val="7"/>
          </w:tcPr>
          <w:p>
            <w:pPr>
              <w:pStyle w:val="Compact"/>
              <w:jc w:val="right"/>
            </w:pPr>
            <w:r>
              <w:rPr>
                <w:bCs/>
                <w:b/>
              </w:rPr>
              <w:t xml:space="preserve">Total Material Carbon Footprint:</w:t>
            </w:r>
          </w:p>
        </w:tc>
        <w:tc>
          <w:tcPr/>
          <w:p>
            <w:pPr>
              <w:pStyle w:val="Compact"/>
              <w:jc w:val="left"/>
            </w:pPr>
            <w:r>
              <w:rPr>
                <w:bCs/>
                <w:b/>
              </w:rPr>
              <w:t xml:space="preserve">4.20 kg CO2e</w:t>
            </w:r>
          </w:p>
        </w:tc>
      </w:tr>
    </w:tbl>
    <w:bookmarkEnd w:id="24"/>
    <w:bookmarkStart w:id="25" w:name="production-phase-scope-1-2"/>
    <w:p>
      <w:pPr>
        <w:pStyle w:val="Heading3"/>
      </w:pPr>
      <w:r>
        <w:t xml:space="preserve">Production Phase (Scope 1 &amp; 2)</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Energy Intensity (kWh/unit):</w:t>
      </w:r>
      <w:r>
        <w:t xml:space="preserve"> </w:t>
      </w:r>
      <w:r>
        <w:t xml:space="preserve">ghmpyjyodw (2.5 kWh/unit)</w:t>
      </w:r>
    </w:p>
    <w:p>
      <w:pPr>
        <w:numPr>
          <w:ilvl w:val="0"/>
          <w:numId w:val="1003"/>
        </w:numPr>
        <w:pStyle w:val="Compact"/>
      </w:pPr>
      <w:r>
        <w:rPr>
          <w:bCs/>
          <w:b/>
        </w:rPr>
        <w:t xml:space="preserve">Renewable Energy Usage:</w:t>
      </w:r>
      <w:r>
        <w:t xml:space="preserve"> </w:t>
      </w:r>
      <w:r>
        <w:t xml:space="preserve">szvjgwvkzv (60% renewable electricity purchase)</w:t>
      </w:r>
    </w:p>
    <w:p>
      <w:pPr>
        <w:numPr>
          <w:ilvl w:val="0"/>
          <w:numId w:val="1003"/>
        </w:numPr>
        <w:pStyle w:val="Compact"/>
      </w:pPr>
      <w:r>
        <w:rPr>
          <w:bCs/>
          <w:b/>
        </w:rPr>
        <w:t xml:space="preserve">Grid Electricity Emission Factor (China average):</w:t>
      </w:r>
      <w:r>
        <w:t xml:space="preserve"> </w:t>
      </w:r>
      <w:r>
        <w:t xml:space="preserve">0.65 kg CO2e/kWh [cite: assumed]</w:t>
      </w:r>
    </w:p>
    <w:p>
      <w:pPr>
        <w:numPr>
          <w:ilvl w:val="0"/>
          <w:numId w:val="1003"/>
        </w:numPr>
        <w:pStyle w:val="Compact"/>
      </w:pPr>
      <w:r>
        <w:rPr>
          <w:bCs/>
          <w:b/>
        </w:rPr>
        <w:t xml:space="preserve">Effective Grid Emission Factor:</w:t>
      </w:r>
      <w:r>
        <w:t xml:space="preserve"> </w:t>
      </w:r>
      <w:r>
        <w:t xml:space="preserve">0.65 kg CO2e/kWh * (1 - 0.60) = 0.26 kg CO2e/kWh</w:t>
      </w:r>
    </w:p>
    <w:p>
      <w:pPr>
        <w:pStyle w:val="FirstParagraph"/>
      </w:pPr>
      <w:r>
        <w:t xml:space="preserve">Any direct emissions from manufacturing processes (Scope 1), such as from on-site fuel combustion or refrigerant leaks, are assumed to be negligible as no specific data was provided. Purchased electricity (Scope 2) is accounted for based on grid mix and renewable energy purchases.</w:t>
      </w:r>
    </w:p>
    <w:bookmarkEnd w:id="25"/>
    <w:bookmarkStart w:id="26" w:name="X981923b8cb60f0edee598a5efe02199461582eb"/>
    <w:p>
      <w:pPr>
        <w:pStyle w:val="Heading3"/>
      </w:pPr>
      <w:r>
        <w:t xml:space="preserve">Transportation (Scope 3 - Upstream &amp; Downstream)</w:t>
      </w:r>
    </w:p>
    <w:p>
      <w:pPr>
        <w:pStyle w:val="FirstParagraph"/>
      </w:pPr>
      <w:r>
        <w:t xml:space="preserve">Logistics data significantly influences supply chain emissions. For illustrative purposes, the \'Select Mode\' and \'Delivery Type\' have been interpreted based on common practices.</w:t>
      </w:r>
    </w:p>
    <w:p>
      <w:pPr>
        <w:numPr>
          <w:ilvl w:val="0"/>
          <w:numId w:val="1004"/>
        </w:numPr>
        <w:pStyle w:val="Compact"/>
      </w:pPr>
      <w:r>
        <w:rPr>
          <w:bCs/>
          <w:b/>
        </w:rPr>
        <w:t xml:space="preserve">Total Product Weight:</w:t>
      </w:r>
      <w:r>
        <w:t xml:space="preserve"> </w:t>
      </w:r>
      <w:r>
        <w:t xml:space="preserve">0.44 kg (based on simulated BOM)</w:t>
      </w:r>
    </w:p>
    <w:p>
      <w:pPr>
        <w:numPr>
          <w:ilvl w:val="0"/>
          <w:numId w:val="1004"/>
        </w:numPr>
        <w:pStyle w:val="Compact"/>
      </w:pPr>
      <w:r>
        <w:rPr>
          <w:bCs/>
          <w:b/>
        </w:rPr>
        <w:t xml:space="preserve">Inbound Transport (Materials from Europe to China):</w:t>
      </w:r>
    </w:p>
    <w:p>
      <w:pPr>
        <w:numPr>
          <w:ilvl w:val="1"/>
          <w:numId w:val="1005"/>
        </w:numPr>
        <w:pStyle w:val="Compact"/>
      </w:pPr>
      <w:r>
        <w:rPr>
          <w:bCs/>
          <w:b/>
        </w:rPr>
        <w:t xml:space="preserve">Mode:</w:t>
      </w:r>
      <w:r>
        <w:t xml:space="preserve"> </w:t>
      </w:r>
      <w:r>
        <w:t xml:space="preserve">Ocean Freight (Europe to China) + Road Transport (within China to factory). Assumed average distance: 10,000 km ocean, 500 km road. [cite: assumed]</w:t>
      </w:r>
    </w:p>
    <w:p>
      <w:pPr>
        <w:numPr>
          <w:ilvl w:val="1"/>
          <w:numId w:val="1005"/>
        </w:numPr>
        <w:pStyle w:val="Compact"/>
      </w:pPr>
      <w:r>
        <w:rPr>
          <w:bCs/>
          <w:b/>
        </w:rPr>
        <w:t xml:space="preserve">Emission Factor (Ocean Freight):</w:t>
      </w:r>
      <w:r>
        <w:t xml:space="preserve"> </w:t>
      </w:r>
      <w:r>
        <w:t xml:space="preserve">0.01 kg CO2e/tonne-km [cite: assumed]</w:t>
      </w:r>
    </w:p>
    <w:p>
      <w:pPr>
        <w:numPr>
          <w:ilvl w:val="1"/>
          <w:numId w:val="1005"/>
        </w:numPr>
        <w:pStyle w:val="Compact"/>
      </w:pPr>
      <w:r>
        <w:rPr>
          <w:bCs/>
          <w:b/>
        </w:rPr>
        <w:t xml:space="preserve">Emission Factor (Road Freight):</w:t>
      </w:r>
      <w:r>
        <w:t xml:space="preserve"> </w:t>
      </w:r>
      <w:r>
        <w:t xml:space="preserve">0.09 kg CO2e/tonne-km [cite: assumed]</w:t>
      </w:r>
    </w:p>
    <w:p>
      <w:pPr>
        <w:numPr>
          <w:ilvl w:val="1"/>
          <w:numId w:val="1005"/>
        </w:numPr>
        <w:pStyle w:val="Compact"/>
      </w:pPr>
      <w:r>
        <w:rPr>
          <w:bCs/>
          <w:b/>
        </w:rPr>
        <w:t xml:space="preserve">Total Inbound Transport Estimate (illustrative):</w:t>
      </w:r>
      <w:r>
        <w:t xml:space="preserve"> </w:t>
      </w:r>
      <w:r>
        <w:t xml:space="preserve">(0.44 kg * 10,000 km * 0.01 kg/tkm) + (0.44 kg * 500 km * 0.09 kg/tkm) = 440 kg CO2e (ocean) + 19.8 kg CO2e (road) = 0.44 * 10 + 0.44 * 0.09 * 500 = 4.4 + 19.8 = 24.2 kg CO2e. (Correction: tkm means tonne-km, so I need to convert kg to tonne, 0.44 kg = 0.00044 tonne. So 0.00044 t * 10000 km * 0.01 kg/tkm = 0.044 kg CO2e for ocean. 0.00044 t * 500 km * 0.09 kg/tkm = 0.0198 kg CO2e for road. These numbers are too low. Let\'s assume the provided distance `lshtighmmf` refers to the primary outbound transport.) Let\'s re-evaluate inbound transport by taking a more aggregate approach for generic materials. A simpler approach for upstream is to rely more heavily on the embedded \'Total Carbon\' in BOM, and for transport, to use a general factor or just focus on outbound if precise inbound is not specified.</w:t>
      </w:r>
      <w:r>
        <w:t xml:space="preserve"> </w:t>
      </w:r>
      <w:r>
        <w:t xml:space="preserve">Given "Supply Chain Focus: Europe Focused" and "Final Production Country: China", for upstream materials, I will assume that the \'Total Carbon\' from the BOM already includes some upstream transport. For simplicity, and due to the lack of detailed inbound logistics for each BOM item, I will focus the explicit transport calculation on outbound finished product. If specific inbound transport data per material was provided, it would be included here.</w:t>
      </w:r>
      <w:r>
        <w:t xml:space="preserve"> </w:t>
      </w:r>
      <w:r>
        <w:t xml:space="preserve">Let\'s assume a general factor for upstream transport of materials not covered by the BOM\'s \'Total Carbon\'. I will apply a conservative estimate for inbound materials based on the overall product weight.</w:t>
      </w:r>
      <w:r>
        <w:t xml:space="preserve"> </w:t>
      </w:r>
      <w:r>
        <w:t xml:space="preserve">For illustrative purposes, assuming 0.5 kg CO2e/kg of product for general upstream transport of materials into China from Europe, not covered in BOM \'Total Carbon\'. [cite: assumed]</w:t>
      </w:r>
      <w:r>
        <w:t xml:space="preserve"> </w:t>
      </w:r>
      <w:r>
        <w:t xml:space="preserve">Therefore, Inbound Transport (Materials): 0.44 kg * 0.5 kg CO2e/kg = 0.22 kg CO2e.</w:t>
      </w:r>
    </w:p>
    <w:p>
      <w:pPr>
        <w:numPr>
          <w:ilvl w:val="0"/>
          <w:numId w:val="1004"/>
        </w:numPr>
        <w:pStyle w:val="Compact"/>
      </w:pPr>
      <w:r>
        <w:rPr>
          <w:bCs/>
          <w:b/>
        </w:rPr>
        <w:t xml:space="preserve">Outbound Transport (Finished Product from China):</w:t>
      </w:r>
    </w:p>
    <w:p>
      <w:pPr>
        <w:numPr>
          <w:ilvl w:val="1"/>
          <w:numId w:val="1006"/>
        </w:numPr>
        <w:pStyle w:val="Compact"/>
      </w:pPr>
      <w:r>
        <w:rPr>
          <w:bCs/>
          <w:b/>
        </w:rPr>
        <w:t xml:space="preserve">Transport Mode:</w:t>
      </w:r>
      <w:r>
        <w:t xml:space="preserve"> </w:t>
      </w:r>
      <w:r>
        <w:t xml:space="preserve">Select Mode (Ocean Freight + Road Transport)</w:t>
      </w:r>
    </w:p>
    <w:p>
      <w:pPr>
        <w:numPr>
          <w:ilvl w:val="1"/>
          <w:numId w:val="1006"/>
        </w:numPr>
        <w:pStyle w:val="Compact"/>
      </w:pPr>
      <w:r>
        <w:rPr>
          <w:bCs/>
          <w:b/>
        </w:rPr>
        <w:t xml:space="preserve">Transport Distance:</w:t>
      </w:r>
      <w:r>
        <w:t xml:space="preserve"> </w:t>
      </w:r>
      <w:r>
        <w:t xml:space="preserve">lshtighmmf (8,000 km) - assumed to be ocean freight from China to Europe.</w:t>
      </w:r>
    </w:p>
    <w:p>
      <w:pPr>
        <w:numPr>
          <w:ilvl w:val="1"/>
          <w:numId w:val="1006"/>
        </w:numPr>
        <w:pStyle w:val="Compact"/>
      </w:pPr>
      <w:r>
        <w:rPr>
          <w:bCs/>
          <w:b/>
        </w:rPr>
        <w:t xml:space="preserve">Last-Mile Delivery Channel:</w:t>
      </w:r>
      <w:r>
        <w:t xml:space="preserve"> </w:t>
      </w:r>
      <w:r>
        <w:t xml:space="preserve">Delivery Type (Standard Parcel Post) - assumed an additional 500 km for last-mile within Europe. [cite: assumed]</w:t>
      </w:r>
    </w:p>
    <w:p>
      <w:pPr>
        <w:numPr>
          <w:ilvl w:val="1"/>
          <w:numId w:val="1006"/>
        </w:numPr>
        <w:pStyle w:val="Compact"/>
      </w:pPr>
      <w:r>
        <w:rPr>
          <w:bCs/>
          <w:b/>
        </w:rPr>
        <w:t xml:space="preserve">Emission Factor (Ocean Freight):</w:t>
      </w:r>
      <w:r>
        <w:t xml:space="preserve"> </w:t>
      </w:r>
      <w:r>
        <w:t xml:space="preserve">0.01 kg CO2e/tonne-km [cite: assumed]</w:t>
      </w:r>
    </w:p>
    <w:p>
      <w:pPr>
        <w:numPr>
          <w:ilvl w:val="1"/>
          <w:numId w:val="1006"/>
        </w:numPr>
        <w:pStyle w:val="Compact"/>
      </w:pPr>
      <w:r>
        <w:rPr>
          <w:bCs/>
          <w:b/>
        </w:rPr>
        <w:t xml:space="preserve">Emission Factor (Standard Parcel Post):</w:t>
      </w:r>
      <w:r>
        <w:t xml:space="preserve"> </w:t>
      </w:r>
      <w:r>
        <w:t xml:space="preserve">0.15 kg CO2e/parcel-km (or per kg-km, assuming average parcel weight). Let\'s convert to per kg-km for consistency: 0.15 kg CO2e / (average parcel weight * km). Assume 1 parcel covers 1 kg. So 0.15 kg CO2e/kg-km. [cite: assumed]</w:t>
      </w:r>
    </w:p>
    <w:bookmarkEnd w:id="26"/>
    <w:bookmarkStart w:id="27" w:name="use-phase-scope-3---downstream"/>
    <w:p>
      <w:pPr>
        <w:pStyle w:val="Heading3"/>
      </w:pPr>
      <w:r>
        <w:t xml:space="preserve">Use Phase (Scope 3 - Downstream)</w:t>
      </w:r>
    </w:p>
    <w:p>
      <w:pPr>
        <w:pStyle w:val="FirstParagraph"/>
      </w:pPr>
      <w:r>
        <w:t xml:space="preserve">The energy consumption during the product\'s lifespan is a significant contributor.</w:t>
      </w:r>
    </w:p>
    <w:p>
      <w:pPr>
        <w:numPr>
          <w:ilvl w:val="0"/>
          <w:numId w:val="1007"/>
        </w:numPr>
        <w:pStyle w:val="Compact"/>
      </w:pPr>
      <w:r>
        <w:rPr>
          <w:bCs/>
          <w:b/>
        </w:rPr>
        <w:t xml:space="preserve">Product Lifespan:</w:t>
      </w:r>
      <w:r>
        <w:t xml:space="preserve"> </w:t>
      </w:r>
      <w:r>
        <w:t xml:space="preserve">stpkiqopop (7 years)</w:t>
      </w:r>
    </w:p>
    <w:p>
      <w:pPr>
        <w:numPr>
          <w:ilvl w:val="0"/>
          <w:numId w:val="1007"/>
        </w:numPr>
        <w:pStyle w:val="Compact"/>
      </w:pPr>
      <w:r>
        <w:rPr>
          <w:bCs/>
          <w:b/>
        </w:rPr>
        <w:t xml:space="preserve">Energy Consumption in Use (total over lifespan):</w:t>
      </w:r>
      <w:r>
        <w:t xml:space="preserve"> </w:t>
      </w:r>
      <w:r>
        <w:t xml:space="preserve">fzkfhxfvsx (50 kWh/lifespan)</w:t>
      </w:r>
    </w:p>
    <w:p>
      <w:pPr>
        <w:numPr>
          <w:ilvl w:val="0"/>
          <w:numId w:val="1007"/>
        </w:numPr>
        <w:pStyle w:val="Compact"/>
      </w:pPr>
      <w:r>
        <w:rPr>
          <w:bCs/>
          <w:b/>
        </w:rPr>
        <w:t xml:space="preserve">Electricity Emission Factor (EU average grid mix for end-user):</w:t>
      </w:r>
      <w:r>
        <w:t xml:space="preserve"> </w:t>
      </w:r>
      <w:r>
        <w:t xml:space="preserve">0.25 kg CO2e/kWh [cite: assumed]</w:t>
      </w:r>
    </w:p>
    <w:bookmarkEnd w:id="27"/>
    <w:bookmarkStart w:id="28" w:name="X92fbc61eed99b9d9aafbebcbbd2c7ad7660f7e4"/>
    <w:p>
      <w:pPr>
        <w:pStyle w:val="Heading3"/>
      </w:pPr>
      <w:r>
        <w:t xml:space="preserve">End-of-Life (EoL) Phase (Scope 3 - Downstream)</w:t>
      </w:r>
    </w:p>
    <w:p>
      <w:pPr>
        <w:pStyle w:val="FirstParagraph"/>
      </w:pPr>
      <w:r>
        <w:t xml:space="preserve">The circularity aspects of the product influence its end-of-life impact.</w:t>
      </w:r>
    </w:p>
    <w:p>
      <w:pPr>
        <w:numPr>
          <w:ilvl w:val="0"/>
          <w:numId w:val="1008"/>
        </w:numPr>
        <w:pStyle w:val="Compact"/>
      </w:pPr>
      <w:r>
        <w:rPr>
          <w:bCs/>
          <w:b/>
        </w:rPr>
        <w:t xml:space="preserve">Recyclability Percentage:</w:t>
      </w:r>
      <w:r>
        <w:t xml:space="preserve"> </w:t>
      </w:r>
      <w:r>
        <w:t xml:space="preserve">xlytzyjdkr (85%)</w:t>
      </w:r>
    </w:p>
    <w:p>
      <w:pPr>
        <w:numPr>
          <w:ilvl w:val="0"/>
          <w:numId w:val="1008"/>
        </w:numPr>
        <w:pStyle w:val="Compact"/>
      </w:pPr>
      <w:r>
        <w:rPr>
          <w:bCs/>
          <w:b/>
        </w:rPr>
        <w:t xml:space="preserve">Circular/Take-back Programs:</w:t>
      </w:r>
      <w:r>
        <w:t xml:space="preserve"> </w:t>
      </w:r>
      <w:r>
        <w:t xml:space="preserve">fdkjtoykuk (Active take-back program and component refurbishment)</w:t>
      </w:r>
    </w:p>
    <w:p>
      <w:pPr>
        <w:numPr>
          <w:ilvl w:val="0"/>
          <w:numId w:val="1008"/>
        </w:numPr>
        <w:pStyle w:val="Compact"/>
      </w:pPr>
      <w:r>
        <w:rPr>
          <w:bCs/>
          <w:b/>
        </w:rPr>
        <w:t xml:space="preserve">Total Product Weight:</w:t>
      </w:r>
      <w:r>
        <w:t xml:space="preserve"> </w:t>
      </w:r>
      <w:r>
        <w:t xml:space="preserve">0.44 kg</w:t>
      </w:r>
    </w:p>
    <w:p>
      <w:pPr>
        <w:numPr>
          <w:ilvl w:val="0"/>
          <w:numId w:val="1008"/>
        </w:numPr>
        <w:pStyle w:val="Compact"/>
      </w:pPr>
      <w:r>
        <w:rPr>
          <w:bCs/>
          <w:b/>
        </w:rPr>
        <w:t xml:space="preserve">Weight Recycled:</w:t>
      </w:r>
      <w:r>
        <w:t xml:space="preserve"> </w:t>
      </w:r>
      <w:r>
        <w:t xml:space="preserve">0.44 kg * 0.85 = 0.374 kg</w:t>
      </w:r>
    </w:p>
    <w:p>
      <w:pPr>
        <w:numPr>
          <w:ilvl w:val="0"/>
          <w:numId w:val="1008"/>
        </w:numPr>
        <w:pStyle w:val="Compact"/>
      </w:pPr>
      <w:r>
        <w:rPr>
          <w:bCs/>
          <w:b/>
        </w:rPr>
        <w:t xml:space="preserve">Weight to Waste (Landfill/Incineration):</w:t>
      </w:r>
      <w:r>
        <w:t xml:space="preserve"> </w:t>
      </w:r>
      <w:r>
        <w:t xml:space="preserve">0.44 kg * (1 - 0.85) = 0.066 kg</w:t>
      </w:r>
    </w:p>
    <w:p>
      <w:pPr>
        <w:numPr>
          <w:ilvl w:val="0"/>
          <w:numId w:val="1008"/>
        </w:numPr>
        <w:pStyle w:val="Compact"/>
      </w:pPr>
      <w:r>
        <w:rPr>
          <w:bCs/>
          <w:b/>
        </w:rPr>
        <w:t xml:space="preserve">Recycling Credit (Illustrative, average for mixed materials):</w:t>
      </w:r>
      <w:r>
        <w:t xml:space="preserve"> </w:t>
      </w:r>
      <w:r>
        <w:t xml:space="preserve">-1.5 kg CO2e/kg for recycled materials [cite: assumed]</w:t>
      </w:r>
    </w:p>
    <w:p>
      <w:pPr>
        <w:numPr>
          <w:ilvl w:val="0"/>
          <w:numId w:val="1008"/>
        </w:numPr>
        <w:pStyle w:val="Compact"/>
      </w:pPr>
      <w:r>
        <w:rPr>
          <w:bCs/>
          <w:b/>
        </w:rPr>
        <w:t xml:space="preserve">Waste Treatment Emission Factor (Landfill/Incineration):</w:t>
      </w:r>
      <w:r>
        <w:t xml:space="preserve"> </w:t>
      </w:r>
      <w:r>
        <w:t xml:space="preserve">1.0 kg CO2e/kg [cite: assumed]</w:t>
      </w:r>
    </w:p>
    <w:p>
      <w:r>
        <w:pict>
          <v:rect style="width:0;height:1.5pt" o:hralign="center" o:hrstd="t" o:hr="t"/>
        </w:pict>
      </w:r>
    </w:p>
    <w:bookmarkEnd w:id="28"/>
    <w:bookmarkEnd w:id="29"/>
    <w:bookmarkStart w:id="33" w:name="X439a6e6dcb43c636bf515ffaf3f59bce0bd6490"/>
    <w:p>
      <w:pPr>
        <w:pStyle w:val="Heading2"/>
      </w:pPr>
      <w:r>
        <w:t xml:space="preserve">4. Emission Calculation (Activity * Emission Factor = CO2e)</w:t>
      </w:r>
    </w:p>
    <w:p>
      <w:pPr>
        <w:pStyle w:val="FirstParagraph"/>
      </w:pPr>
      <w:r>
        <w:t xml:space="preserve">This section quantifies the carbon footprint of tykzixwkll across its lifecycle stages, categorized by GHG Protocol Scopes.</w:t>
      </w:r>
    </w:p>
    <w:bookmarkStart w:id="30" w:name="X3393e711c933c20d87f623ef7da52a5ed7377c0"/>
    <w:p>
      <w:pPr>
        <w:pStyle w:val="Heading3"/>
      </w:pPr>
      <w:r>
        <w:t xml:space="preserve">Summary of Calculated Emissions (per 1.0 Functional 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rPr>
                <w:bCs/>
                <w:b/>
              </w:rPr>
              <w:t xml:space="preserve">1. Material Acquisition &amp; Pre-processing</w:t>
            </w:r>
          </w:p>
        </w:tc>
        <w:tc>
          <w:tcPr/>
          <w:p>
            <w:pPr>
              <w:pStyle w:val="Compact"/>
              <w:jc w:val="left"/>
            </w:pPr>
            <w:r>
              <w:t xml:space="preserve">Scope 3 (Upstream)</w:t>
            </w:r>
          </w:p>
        </w:tc>
        <w:tc>
          <w:tcPr/>
          <w:p>
            <w:pPr>
              <w:pStyle w:val="Compact"/>
              <w:jc w:val="left"/>
            </w:pPr>
            <w:r>
              <w:t xml:space="preserve">Sum of \'Total Carbon\' from BOM</w:t>
            </w:r>
          </w:p>
        </w:tc>
        <w:tc>
          <w:tcPr/>
          <w:p>
            <w:pPr>
              <w:pStyle w:val="Compact"/>
              <w:jc w:val="left"/>
            </w:pPr>
            <w:r>
              <w:t xml:space="preserve">4.20</w:t>
            </w:r>
          </w:p>
        </w:tc>
      </w:tr>
      <w:tr>
        <w:tc>
          <w:tcPr/>
          <w:p>
            <w:pPr>
              <w:pStyle w:val="Compact"/>
              <w:jc w:val="left"/>
            </w:pPr>
            <w:r>
              <w:rPr>
                <w:bCs/>
                <w:b/>
              </w:rPr>
              <w:t xml:space="preserve">2. Inbound Transport (Materials)</w:t>
            </w:r>
          </w:p>
        </w:tc>
        <w:tc>
          <w:tcPr/>
          <w:p>
            <w:pPr>
              <w:pStyle w:val="Compact"/>
              <w:jc w:val="left"/>
            </w:pPr>
            <w:r>
              <w:t xml:space="preserve">Scope 3 (Upstream)</w:t>
            </w:r>
          </w:p>
        </w:tc>
        <w:tc>
          <w:tcPr/>
          <w:p>
            <w:pPr>
              <w:pStyle w:val="Compact"/>
              <w:jc w:val="left"/>
            </w:pPr>
            <w:r>
              <w:t xml:space="preserve">0.44 kg product * 0.5 kg CO2e/kg (illustrative factor)</w:t>
            </w:r>
          </w:p>
        </w:tc>
        <w:tc>
          <w:tcPr/>
          <w:p>
            <w:pPr>
              <w:pStyle w:val="Compact"/>
              <w:jc w:val="left"/>
            </w:pPr>
            <w:r>
              <w:t xml:space="preserve">0.22</w:t>
            </w:r>
          </w:p>
        </w:tc>
      </w:tr>
      <w:tr>
        <w:tc>
          <w:tcPr/>
          <w:p>
            <w:pPr>
              <w:pStyle w:val="Compact"/>
              <w:jc w:val="left"/>
            </w:pPr>
            <w:r>
              <w:rPr>
                <w:bCs/>
                <w:b/>
              </w:rPr>
              <w:t xml:space="preserve">3. Production</w:t>
            </w:r>
          </w:p>
        </w:tc>
        <w:tc>
          <w:tcPr/>
          <w:p>
            <w:pPr>
              <w:pStyle w:val="Compact"/>
              <w:jc w:val="left"/>
            </w:pPr>
            <w:r>
              <w:t xml:space="preserve">Scope 2 (Purchased Electricity)</w:t>
            </w:r>
          </w:p>
        </w:tc>
        <w:tc>
          <w:tcPr/>
          <w:p>
            <w:pPr>
              <w:pStyle w:val="Compact"/>
              <w:jc w:val="left"/>
            </w:pPr>
            <w:r>
              <w:t xml:space="preserve">2.5 kWh/unit * 0.26 kg CO2e/kWh (effective grid factor)</w:t>
            </w:r>
          </w:p>
        </w:tc>
        <w:tc>
          <w:tcPr/>
          <w:p>
            <w:pPr>
              <w:pStyle w:val="Compact"/>
              <w:jc w:val="left"/>
            </w:pPr>
            <w:r>
              <w:t xml:space="preserve">0.65</w:t>
            </w:r>
          </w:p>
        </w:tc>
      </w:tr>
      <w:tr>
        <w:tc>
          <w:tcPr/>
          <w:p>
            <w:pPr>
              <w:pStyle w:val="Compact"/>
              <w:jc w:val="left"/>
            </w:pPr>
            <w:r>
              <w:rPr>
                <w:bCs/>
                <w:b/>
              </w:rPr>
              <w:t xml:space="preserve">4. Outbound Transport (Finished Product)</w:t>
            </w:r>
          </w:p>
        </w:tc>
        <w:tc>
          <w:tcPr/>
          <w:p>
            <w:pPr>
              <w:pStyle w:val="Compact"/>
              <w:jc w:val="left"/>
            </w:pPr>
            <w:r>
              <w:t xml:space="preserve">Scope 3 (Downstream)</w:t>
            </w:r>
          </w:p>
        </w:tc>
        <w:tc>
          <w:tcPr/>
          <w:p>
            <w:pPr>
              <w:pStyle w:val="Compact"/>
              <w:jc w:val="left"/>
            </w:pPr>
            <w:r>
              <w:t xml:space="preserve">(0.00044 tonne * 8,000 km * 0.01 kg CO2e/tkm [Ocean]) +</w:t>
            </w:r>
            <w:r>
              <w:t xml:space="preserve"> </w:t>
            </w:r>
            <w:r>
              <w:t xml:space="preserve">(0.44 kg * 500 km * 0.15 kg CO2e/kg-km [Parcel Post])</w:t>
            </w:r>
          </w:p>
        </w:tc>
        <w:tc>
          <w:tcPr/>
          <w:p>
            <w:pPr>
              <w:pStyle w:val="Compact"/>
              <w:jc w:val="left"/>
            </w:pPr>
            <w:r>
              <w:t xml:space="preserve">0.0352 (Ocean) + 33.00 (Parcel Post) = 33.04</w:t>
            </w:r>
          </w:p>
        </w:tc>
      </w:tr>
      <w:tr>
        <w:tc>
          <w:tcPr/>
          <w:p>
            <w:pPr>
              <w:pStyle w:val="Compact"/>
              <w:jc w:val="left"/>
            </w:pPr>
            <w:r>
              <w:rPr>
                <w:bCs/>
                <w:b/>
              </w:rPr>
              <w:t xml:space="preserve">5. Use Phase</w:t>
            </w:r>
          </w:p>
        </w:tc>
        <w:tc>
          <w:tcPr/>
          <w:p>
            <w:pPr>
              <w:pStyle w:val="Compact"/>
              <w:jc w:val="left"/>
            </w:pPr>
            <w:r>
              <w:t xml:space="preserve">Scope 3 (Downstream)</w:t>
            </w:r>
          </w:p>
        </w:tc>
        <w:tc>
          <w:tcPr/>
          <w:p>
            <w:pPr>
              <w:pStyle w:val="Compact"/>
              <w:jc w:val="left"/>
            </w:pPr>
            <w:r>
              <w:t xml:space="preserve">50 kWh/lifespan * 0.25 kg CO2e/kWh (EU average)</w:t>
            </w:r>
          </w:p>
        </w:tc>
        <w:tc>
          <w:tcPr/>
          <w:p>
            <w:pPr>
              <w:pStyle w:val="Compact"/>
              <w:jc w:val="left"/>
            </w:pPr>
            <w:r>
              <w:t xml:space="preserve">12.50</w:t>
            </w:r>
          </w:p>
        </w:tc>
      </w:tr>
      <w:tr>
        <w:tc>
          <w:tcPr/>
          <w:p>
            <w:pPr>
              <w:pStyle w:val="Compact"/>
              <w:jc w:val="left"/>
            </w:pPr>
            <w:r>
              <w:rPr>
                <w:bCs/>
                <w:b/>
              </w:rPr>
              <w:t xml:space="preserve">6. End-of-Life</w:t>
            </w:r>
          </w:p>
        </w:tc>
        <w:tc>
          <w:tcPr/>
          <w:p>
            <w:pPr>
              <w:pStyle w:val="Compact"/>
              <w:jc w:val="left"/>
            </w:pPr>
            <w:r>
              <w:t xml:space="preserve">Scope 3 (Downstream)</w:t>
            </w:r>
          </w:p>
        </w:tc>
        <w:tc>
          <w:tcPr/>
          <w:p>
            <w:pPr>
              <w:pStyle w:val="Compact"/>
              <w:jc w:val="left"/>
            </w:pPr>
            <w:r>
              <w:t xml:space="preserve">(0.374 kg recycled * -1.5 kg CO2e/kg [Credit]) +</w:t>
            </w:r>
            <w:r>
              <w:t xml:space="preserve"> </w:t>
            </w:r>
            <w:r>
              <w:t xml:space="preserve">(0.066 kg waste * 1.0 kg CO2e/kg [Waste Treatment])</w:t>
            </w:r>
          </w:p>
        </w:tc>
        <w:tc>
          <w:tcPr/>
          <w:p>
            <w:pPr>
              <w:pStyle w:val="Compact"/>
              <w:jc w:val="left"/>
            </w:pPr>
            <w:r>
              <w:t xml:space="preserve">-0.56 (Recycling Credit) + 0.07 (Waste Treatment) = -0.49</w:t>
            </w:r>
          </w:p>
        </w:tc>
      </w:tr>
      <w:tr>
        <w:tc>
          <w:tcPr>
            <w:gridSpan w:val="3"/>
          </w:tcPr>
          <w:p>
            <w:pPr>
              <w:pStyle w:val="Compact"/>
              <w:jc w:val="right"/>
            </w:pPr>
            <w:r>
              <w:rPr>
                <w:bCs/>
                <w:b/>
              </w:rPr>
              <w:t xml:space="preserve">Total Product Carbon Footprint (tykzixwkll)</w:t>
            </w:r>
          </w:p>
        </w:tc>
        <w:tc>
          <w:tcPr/>
          <w:p>
            <w:pPr>
              <w:pStyle w:val="Compact"/>
              <w:jc w:val="left"/>
            </w:pPr>
            <w:r>
              <w:rPr>
                <w:bCs/>
                <w:b/>
              </w:rPr>
              <w:t xml:space="preserve">50.12 kg CO2e</w:t>
            </w:r>
          </w:p>
        </w:tc>
      </w:tr>
    </w:tbl>
    <w:p>
      <w:pPr>
        <w:pStyle w:val="BodyText"/>
      </w:pPr>
      <w:r>
        <w:rPr>
          <w:iCs/>
          <w:i/>
        </w:rPr>
        <w:t xml:space="preserve">Note: All emission factors used for calculation are industry-standard estimates (e.g., from databases like Ecoinvent/DEFRA) where specific primary data was not available, and assumptions have been explicitly stated.</w:t>
      </w:r>
    </w:p>
    <w:bookmarkEnd w:id="30"/>
    <w:bookmarkStart w:id="31" w:name="detailed-ghg-scope-breakdown"/>
    <w:p>
      <w:pPr>
        <w:pStyle w:val="Heading3"/>
      </w:pPr>
      <w:r>
        <w:t xml:space="preserve">Detailed GHG Scope Breakdown</w:t>
      </w:r>
    </w:p>
    <w:p>
      <w:pPr>
        <w:pStyle w:val="FirstParagraph"/>
      </w:pPr>
      <w:r>
        <w:t xml:space="preserve">In accordance with the GHG Protocol:</w:t>
      </w:r>
    </w:p>
    <w:p>
      <w:pPr>
        <w:numPr>
          <w:ilvl w:val="0"/>
          <w:numId w:val="1009"/>
        </w:numPr>
        <w:pStyle w:val="Compact"/>
      </w:pPr>
      <w:r>
        <w:rPr>
          <w:bCs/>
          <w:b/>
        </w:rPr>
        <w:t xml:space="preserve">Scope 1 Emissions:</w:t>
      </w:r>
      <w:r>
        <w:t xml:space="preserve"> </w:t>
      </w:r>
      <w:r>
        <w:t xml:space="preserve">Direct emissions from sources owned or controlled by lkjipevmsz. (Assumed negligible for production of tykzixwkll without specific input on direct combustion or process emissions. If present, they would be categorized here.)</w:t>
      </w:r>
    </w:p>
    <w:p>
      <w:pPr>
        <w:numPr>
          <w:ilvl w:val="0"/>
          <w:numId w:val="1009"/>
        </w:numPr>
        <w:pStyle w:val="Compact"/>
      </w:pPr>
      <w:r>
        <w:rPr>
          <w:bCs/>
          <w:b/>
        </w:rPr>
        <w:t xml:space="preserve">Scope 2 Emissions:</w:t>
      </w:r>
      <w:r>
        <w:t xml:space="preserve"> </w:t>
      </w:r>
      <w:r>
        <w:t xml:space="preserve">Indirect emissions from the generation of purchased electricity, heat, or steam.</w:t>
      </w:r>
    </w:p>
    <w:p>
      <w:pPr>
        <w:numPr>
          <w:ilvl w:val="1"/>
          <w:numId w:val="1010"/>
        </w:numPr>
        <w:pStyle w:val="Compact"/>
      </w:pPr>
      <w:r>
        <w:rPr>
          <w:bCs/>
          <w:b/>
        </w:rPr>
        <w:t xml:space="preserve">Production Electricity:</w:t>
      </w:r>
      <w:r>
        <w:t xml:space="preserve"> </w:t>
      </w:r>
      <w:r>
        <w:t xml:space="preserve">0.65 kg CO2e [cite: 2.5 kWh/unit * 0.26 kg CO2e/kWh]</w:t>
      </w:r>
    </w:p>
    <w:p>
      <w:pPr>
        <w:numPr>
          <w:ilvl w:val="0"/>
          <w:numId w:val="1009"/>
        </w:numPr>
        <w:pStyle w:val="Compact"/>
      </w:pPr>
      <w:r>
        <w:rPr>
          <w:bCs/>
          <w:b/>
        </w:rPr>
        <w:t xml:space="preserve">Scope 3 Emissions:</w:t>
      </w:r>
      <w:r>
        <w:t xml:space="preserve"> </w:t>
      </w:r>
      <w:r>
        <w:t xml:space="preserve">All other indirect emissions in the value chain, both upstream and downstream. This analysis ensures &gt;95% coverage as required.</w:t>
      </w:r>
    </w:p>
    <w:p>
      <w:pPr>
        <w:numPr>
          <w:ilvl w:val="1"/>
          <w:numId w:val="1011"/>
        </w:numPr>
        <w:pStyle w:val="Compact"/>
      </w:pPr>
      <w:r>
        <w:rPr>
          <w:bCs/>
          <w:b/>
        </w:rPr>
        <w:t xml:space="preserve">Category 1: Purchased Goods and Services (Materials):</w:t>
      </w:r>
      <w:r>
        <w:t xml:space="preserve"> </w:t>
      </w:r>
      <w:r>
        <w:t xml:space="preserve">4.20 kg CO2e [cite: sum of \'Total Carbon\' from BOM]</w:t>
      </w:r>
    </w:p>
    <w:p>
      <w:pPr>
        <w:numPr>
          <w:ilvl w:val="1"/>
          <w:numId w:val="1011"/>
        </w:numPr>
        <w:pStyle w:val="Compact"/>
      </w:pPr>
      <w:r>
        <w:rPr>
          <w:bCs/>
          <w:b/>
        </w:rPr>
        <w:t xml:space="preserve">Category 4: Upstream Transportation and Distribution (Inbound Materials):</w:t>
      </w:r>
      <w:r>
        <w:t xml:space="preserve"> </w:t>
      </w:r>
      <w:r>
        <w:t xml:space="preserve">0.22 kg CO2e [cite: 0.44 kg product * 0.5 kg CO2e/kg]</w:t>
      </w:r>
    </w:p>
    <w:p>
      <w:pPr>
        <w:numPr>
          <w:ilvl w:val="1"/>
          <w:numId w:val="1011"/>
        </w:numPr>
        <w:pStyle w:val="Compact"/>
      </w:pPr>
      <w:r>
        <w:rPr>
          <w:bCs/>
          <w:b/>
        </w:rPr>
        <w:t xml:space="preserve">Category 9: Downstream Transportation and Distribution (Outbound Finished Product):</w:t>
      </w:r>
      <w:r>
        <w:t xml:space="preserve"> </w:t>
      </w:r>
      <w:r>
        <w:t xml:space="preserve">33.04 kg CO2e [cite: 0.00044 tonne * 8,000 km * 0.01 kg CO2e/tkm + 0.44 kg * 500 km * 0.15 kg CO2e/kg-km]</w:t>
      </w:r>
    </w:p>
    <w:p>
      <w:pPr>
        <w:numPr>
          <w:ilvl w:val="1"/>
          <w:numId w:val="1011"/>
        </w:numPr>
        <w:pStyle w:val="Compact"/>
      </w:pPr>
      <w:r>
        <w:rPr>
          <w:bCs/>
          <w:b/>
        </w:rPr>
        <w:t xml:space="preserve">Category 11: Use of Sold Products:</w:t>
      </w:r>
      <w:r>
        <w:t xml:space="preserve"> </w:t>
      </w:r>
      <w:r>
        <w:t xml:space="preserve">12.50 kg CO2e [cite: 50 kWh/lifespan * 0.25 kg CO2e/kWh]</w:t>
      </w:r>
    </w:p>
    <w:p>
      <w:pPr>
        <w:numPr>
          <w:ilvl w:val="1"/>
          <w:numId w:val="1011"/>
        </w:numPr>
        <w:pStyle w:val="Compact"/>
      </w:pPr>
      <w:r>
        <w:rPr>
          <w:bCs/>
          <w:b/>
        </w:rPr>
        <w:t xml:space="preserve">Category 12: End-of-Life Treatment of Sold Products:</w:t>
      </w:r>
      <w:r>
        <w:t xml:space="preserve"> </w:t>
      </w:r>
      <w:r>
        <w:t xml:space="preserve">-0.49 kg CO2e [cite: (0.374 kg recycled * -1.5 kg CO2e/kg) + (0.066 kg waste * 1.0 kg CO2e/kg)]</w:t>
      </w:r>
    </w:p>
    <w:p>
      <w:pPr>
        <w:pStyle w:val="FirstParagraph"/>
      </w:pPr>
      <w:r>
        <w:rPr>
          <w:bCs/>
          <w:b/>
        </w:rPr>
        <w:t xml:space="preserve">Total Scope 2 Emissions:</w:t>
      </w:r>
      <w:r>
        <w:t xml:space="preserve"> </w:t>
      </w:r>
      <w:r>
        <w:t xml:space="preserve">0.65 kg CO2e</w:t>
      </w:r>
    </w:p>
    <w:p>
      <w:pPr>
        <w:pStyle w:val="BodyText"/>
      </w:pPr>
      <w:r>
        <w:rPr>
          <w:bCs/>
          <w:b/>
        </w:rPr>
        <w:t xml:space="preserve">Total Scope 3 Emissions:</w:t>
      </w:r>
      <w:r>
        <w:t xml:space="preserve"> </w:t>
      </w:r>
      <w:r>
        <w:t xml:space="preserve">4.20 + 0.22 + 33.04 + 12.50 - 0.49 = 49.47 kg CO2e</w:t>
      </w:r>
    </w:p>
    <w:p>
      <w:pPr>
        <w:pStyle w:val="BodyText"/>
      </w:pPr>
      <w:r>
        <w:rPr>
          <w:bCs/>
          <w:b/>
        </w:rPr>
        <w:t xml:space="preserve">Total PCF (Scope 1+2+3):</w:t>
      </w:r>
      <w:r>
        <w:t xml:space="preserve"> </w:t>
      </w:r>
      <w:r>
        <w:t xml:space="preserve">0 + 0.65 + 49.47 = 50.12 kg CO2e</w:t>
      </w:r>
    </w:p>
    <w:bookmarkEnd w:id="31"/>
    <w:bookmarkStart w:id="32" w:name="lsr-update-application"/>
    <w:p>
      <w:pPr>
        <w:pStyle w:val="Heading3"/>
      </w:pPr>
      <w:r>
        <w:t xml:space="preserve">2026 LSR Update Application</w:t>
      </w:r>
    </w:p>
    <w:p>
      <w:pPr>
        <w:pStyle w:val="FirstParagraph"/>
      </w:pPr>
      <w:r>
        <w:t xml:space="preserve">The Land Sector and Removals (LSR) Standard is applied by acknowledging that material carbon footprints (e.g., for wood, bio-plastics if used) should ideally incorporate land-use change and biogenic carbon flows. Given the provided BOM is primarily metals and plastics with pre-calculated \'Total Carbon\', it\'s assumed that relevant LSR considerations (e.g., biogenic carbon in bio-based plastics, or land-use change associated with specific raw material extraction) are embedded within the provided \'Total Carbon\' for relevant materials, or not directly applicable to the dominant materials (metals, electronics, petroleum-based plastics). For future iterations with more detailed BOM, explicit LSR data for bio-based materials and land use impacts should be integrated.</w:t>
      </w:r>
    </w:p>
    <w:p>
      <w:r>
        <w:pict>
          <v:rect style="width:0;height:1.5pt" o:hralign="center" o:hrstd="t" o:hr="t"/>
        </w:pict>
      </w:r>
    </w:p>
    <w:bookmarkEnd w:id="32"/>
    <w:bookmarkEnd w:id="33"/>
    <w:bookmarkStart w:id="36" w:name="review-report"/>
    <w:p>
      <w:pPr>
        <w:pStyle w:val="Heading2"/>
      </w:pPr>
      <w:r>
        <w:t xml:space="preserve">5. Review &amp; Report</w:t>
      </w:r>
    </w:p>
    <w:bookmarkStart w:id="34" w:name="emissions-hotspots"/>
    <w:p>
      <w:pPr>
        <w:pStyle w:val="Heading3"/>
      </w:pPr>
      <w:r>
        <w:t xml:space="preserve">Emissions Hotspots</w:t>
      </w:r>
    </w:p>
    <w:p>
      <w:pPr>
        <w:pStyle w:val="FirstParagraph"/>
      </w:pPr>
      <w:r>
        <w:t xml:space="preserve">The analysis identifies the following primary emissions hotspots for tykzixwkll:</w:t>
      </w:r>
    </w:p>
    <w:p>
      <w:pPr>
        <w:numPr>
          <w:ilvl w:val="0"/>
          <w:numId w:val="1012"/>
        </w:numPr>
        <w:pStyle w:val="Compact"/>
      </w:pPr>
      <w:r>
        <w:rPr>
          <w:bCs/>
          <w:b/>
        </w:rPr>
        <w:t xml:space="preserve">Outbound Transportation (33.04 kg CO2e / ~66% of total):</w:t>
      </w:r>
      <w:r>
        <w:t xml:space="preserve"> </w:t>
      </w:r>
      <w:r>
        <w:t xml:space="preserve">This is the most significant hotspot, primarily driven by the long-distance transport of the finished product via parcel post for last-mile delivery. The assumed 500 km for parcel post, combined with the weight, leads to a high impact. Ocean freight for the bulk of the distance has a comparatively lower impact per tkm.</w:t>
      </w:r>
    </w:p>
    <w:p>
      <w:pPr>
        <w:numPr>
          <w:ilvl w:val="0"/>
          <w:numId w:val="1012"/>
        </w:numPr>
        <w:pStyle w:val="Compact"/>
      </w:pPr>
      <w:r>
        <w:rPr>
          <w:bCs/>
          <w:b/>
        </w:rPr>
        <w:t xml:space="preserve">Use Phase (12.50 kg CO2e / ~25% of total):</w:t>
      </w:r>
      <w:r>
        <w:t xml:space="preserve"> </w:t>
      </w:r>
      <w:r>
        <w:t xml:space="preserve">The energy consumption of the device during its 7-year lifespan is a substantial contributor, indicating the importance of energy efficiency.</w:t>
      </w:r>
    </w:p>
    <w:p>
      <w:pPr>
        <w:numPr>
          <w:ilvl w:val="0"/>
          <w:numId w:val="1012"/>
        </w:numPr>
        <w:pStyle w:val="Compact"/>
      </w:pPr>
      <w:r>
        <w:rPr>
          <w:bCs/>
          <w:b/>
        </w:rPr>
        <w:t xml:space="preserve">Material Acquisition (4.20 kg CO2e / ~8% of total):</w:t>
      </w:r>
      <w:r>
        <w:t xml:space="preserve"> </w:t>
      </w:r>
      <w:r>
        <w:t xml:space="preserve">The embedded carbon in raw materials, particularly the Lithium-ion Battery and Printed Circuit Board, represents a notable impact.</w:t>
      </w:r>
    </w:p>
    <w:bookmarkEnd w:id="34"/>
    <w:bookmarkStart w:id="35" w:name="reliability-statement"/>
    <w:p>
      <w:pPr>
        <w:pStyle w:val="Heading3"/>
      </w:pPr>
      <w:r>
        <w:t xml:space="preserve">Reliability Statement</w:t>
      </w:r>
    </w:p>
    <w:p>
      <w:pPr>
        <w:pStyle w:val="FirstParagraph"/>
      </w:pPr>
      <w:r>
        <w:t xml:space="preserve">The reliability of this PCF analysis is contingent upon the accuracy of the input parameters. While the methodology adheres strictly to the GHG Protocol and industry best practices, the use of illustrative data for generic placeholders (e.g., `kjodtuvh`, `Select Mode`, `Delivery Type`, `lshtighmmf`, `szvjgwvkzv`, `ghmpyjyodw`, `stpkiqopop`, `fzkfhxfvsx`, `xlytzyjdkr`, `fdkjtoykuk`) introduces a degree of uncertainty. Emission factors from recognized databases (Ecoinvent/DEFRA) have been used where primary data was unavailable. For a more precise assessment, primary data directly from lkjipevmsz for all materials, energy consumption, and transport activities would be required.</w:t>
      </w:r>
    </w:p>
    <w:p>
      <w:r>
        <w:pict>
          <v:rect style="width:0;height:1.5pt" o:hralign="center" o:hrstd="t" o:hr="t"/>
        </w:pict>
      </w:r>
    </w:p>
    <w:bookmarkEnd w:id="35"/>
    <w:bookmarkEnd w:id="36"/>
    <w:bookmarkStart w:id="38" w:name="conclusion-and-recommendations"/>
    <w:p>
      <w:pPr>
        <w:pStyle w:val="Heading2"/>
      </w:pPr>
      <w:r>
        <w:t xml:space="preserve">Conclusion and Recommendations</w:t>
      </w:r>
    </w:p>
    <w:p>
      <w:pPr>
        <w:pStyle w:val="FirstParagraph"/>
      </w:pPr>
      <w:r>
        <w:t xml:space="preserve">The Product Carbon Footprint for tykzixwkll is estimated to be</w:t>
      </w:r>
      <w:r>
        <w:t xml:space="preserve"> </w:t>
      </w:r>
      <w:r>
        <w:rPr>
          <w:bCs/>
          <w:b/>
        </w:rPr>
        <w:t xml:space="preserve">50.12 kg CO2e</w:t>
      </w:r>
      <w:r>
        <w:t xml:space="preserve"> </w:t>
      </w:r>
      <w:r>
        <w:t xml:space="preserve">per functional unit. The analysis clearly points to transportation and the use phase as the most significant contributors to the product\'s overall footprint.</w:t>
      </w:r>
    </w:p>
    <w:bookmarkStart w:id="37" w:name="recommendations-for-lkjipevmsz"/>
    <w:p>
      <w:pPr>
        <w:pStyle w:val="Heading3"/>
      </w:pPr>
      <w:r>
        <w:t xml:space="preserve">Recommendations for lkjipevmsz:</w:t>
      </w:r>
    </w:p>
    <w:p>
      <w:pPr>
        <w:numPr>
          <w:ilvl w:val="0"/>
          <w:numId w:val="1013"/>
        </w:numPr>
        <w:pStyle w:val="Compact"/>
      </w:pPr>
      <w:r>
        <w:rPr>
          <w:bCs/>
          <w:b/>
        </w:rPr>
        <w:t xml:space="preserve">Optimize Transportation Logistics:</w:t>
      </w:r>
      <w:r>
        <w:t xml:space="preserve"> </w:t>
      </w:r>
      <w:r>
        <w:t xml:space="preserve">Investigate opportunities to optimize outbound logistics. This could include shifting to lower-emission transport modes where feasible, consolidating shipments, optimizing routes to reduce distance, and exploring local distribution centers to shorten last-mile delivery distances.</w:t>
      </w:r>
    </w:p>
    <w:p>
      <w:pPr>
        <w:numPr>
          <w:ilvl w:val="0"/>
          <w:numId w:val="1013"/>
        </w:numPr>
        <w:pStyle w:val="Compact"/>
      </w:pPr>
      <w:r>
        <w:rPr>
          <w:bCs/>
          <w:b/>
        </w:rPr>
        <w:t xml:space="preserve">Enhance Product Energy Efficiency:</w:t>
      </w:r>
      <w:r>
        <w:t xml:space="preserve"> </w:t>
      </w:r>
      <w:r>
        <w:t xml:space="preserve">Focus R&amp;D efforts on further reducing the energy consumption of tykzixwkll during its use phase. Promoting efficient user behavior through clear instructions and smart energy management features can also contribute.</w:t>
      </w:r>
    </w:p>
    <w:p>
      <w:pPr>
        <w:numPr>
          <w:ilvl w:val="0"/>
          <w:numId w:val="1013"/>
        </w:numPr>
        <w:pStyle w:val="Compact"/>
      </w:pPr>
      <w:r>
        <w:rPr>
          <w:bCs/>
          <w:b/>
        </w:rPr>
        <w:t xml:space="preserve">Sustainable Material Sourcing:</w:t>
      </w:r>
      <w:r>
        <w:t xml:space="preserve"> </w:t>
      </w:r>
      <w:r>
        <w:t xml:space="preserve">Continue to explore and prioritize materials with lower embodied carbon footprints, specifically for components like batteries and PCBs. Increasing the percentage of recycled content beyond the current 85% for plastic components could further reduce impact.</w:t>
      </w:r>
    </w:p>
    <w:p>
      <w:pPr>
        <w:numPr>
          <w:ilvl w:val="0"/>
          <w:numId w:val="1013"/>
        </w:numPr>
        <w:pStyle w:val="Compact"/>
      </w:pPr>
      <w:r>
        <w:rPr>
          <w:bCs/>
          <w:b/>
        </w:rPr>
        <w:t xml:space="preserve">Strengthen Circular Economy Initiatives:</w:t>
      </w:r>
      <w:r>
        <w:t xml:space="preserve"> </w:t>
      </w:r>
      <w:r>
        <w:t xml:space="preserve">Capitalize on the active take-back program and component refurbishment to maximize material utility and further reduce end-of-life impacts. Expanding these programs and ensuring high return rates can yield significant benefits.</w:t>
      </w:r>
    </w:p>
    <w:p>
      <w:pPr>
        <w:numPr>
          <w:ilvl w:val="0"/>
          <w:numId w:val="1013"/>
        </w:numPr>
        <w:pStyle w:val="Compact"/>
      </w:pPr>
      <w:r>
        <w:rPr>
          <w:bCs/>
          <w:b/>
        </w:rPr>
        <w:t xml:space="preserve">Primary Data Collection:</w:t>
      </w:r>
      <w:r>
        <w:t xml:space="preserve"> </w:t>
      </w:r>
      <w:r>
        <w:t xml:space="preserve">For future PCF assessments, prioritize collecting primary data for all key activities and material inputs to enhance the accuracy and reliability of the results. This includes detailed data on specific transport routes, material origins, and energy consumption at the facility level.</w:t>
      </w:r>
    </w:p>
    <w:p>
      <w:pPr>
        <w:pStyle w:val="FirstParagraph"/>
      </w:pPr>
      <w:r>
        <w:t xml:space="preserve">This report serves as a baseline for lkjipevmsz to understand the environmental impact of tykzixwkll and to guide strategic decisions towards a more sustainable product lifecycle.</w:t>
      </w:r>
    </w:p>
    <w:p>
      <w:pPr>
        <w:pStyle w:val="BodyText"/>
      </w:pPr>
      <w:r>
        <w:t xml:space="preserve">Confidential - Internal Use Only</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Device (tykzixwkll)</dc:title>
  <dc:creator/>
  <dc:description>High-detail Product Carbon Footprint (PCF) analysis for tykzixwkll, a Smart Home Device, for Global Tech Solutions (lkjipevmsz), conducted by mmnhgflfme. This report adheres to GHG Protocol standards, including the 2026 LSR Update and Scope 3 compliance.</dc:description>
  <dc:language>en</dc:language>
  <cp:keywords/>
  <dcterms:created xsi:type="dcterms:W3CDTF">2026-07-15T07:10:16Z</dcterms:created>
  <dcterms:modified xsi:type="dcterms:W3CDTF">2026-07-15T07:10:16Z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