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nuuxnwlfnx</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smart-home-device-nuuxnwlfnx"/>
    <w:p>
      <w:pPr>
        <w:pStyle w:val="Heading1"/>
      </w:pPr>
      <w:r>
        <w:t xml:space="preserve">Smart Home Device nuuxnwlfnx</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urinlpvexv</w:t>
      </w:r>
    </w:p>
    <w:p>
      <w:pPr>
        <w:pStyle w:val="BodyText"/>
      </w:pPr>
      <w:r>
        <w:rPr>
          <w:bCs/>
          <w:b/>
        </w:rPr>
        <w:t xml:space="preserve">Senior Sustainability Consultant:</w:t>
      </w:r>
      <w:r>
        <w:t xml:space="preserve"> </w:t>
      </w:r>
      <w:r>
        <w:t xml:space="preserve">kqfjgyunhq</w:t>
      </w:r>
    </w:p>
    <w:p>
      <w:pPr>
        <w:pStyle w:val="BodyText"/>
      </w:pPr>
      <w:r>
        <w:t xml:space="preserve">This report is generated based on available data and industry standards. While every effort has been made to ensure accuracy, the actual environmental impact may vary depending on real-world conditions and specific supplier data.</w:t>
      </w:r>
    </w:p>
    <w:bookmarkEnd w:id="21"/>
    <w:p>
      <w:r>
        <w:pict>
          <v:rect style="width:0;height:1.5pt" o:hralign="center" o:hrstd="t" o:hr="t"/>
        </w:pict>
      </w:r>
    </w:p>
    <w:bookmarkStart w:id="53"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Home Device</w:t>
      </w:r>
      <w:r>
        <w:t xml:space="preserve"> </w:t>
      </w:r>
      <w:r>
        <w:rPr>
          <w:bCs/>
          <w:b/>
        </w:rPr>
        <w:t xml:space="preserve">nuuxnwlfnx</w:t>
      </w:r>
      <w:r>
        <w:t xml:space="preserve">, manufactured by</w:t>
      </w:r>
      <w:r>
        <w:t xml:space="preserve"> </w:t>
      </w:r>
      <w:r>
        <w:rPr>
          <w:bCs/>
          <w:b/>
        </w:rPr>
        <w:t xml:space="preserve">urinlpvexv</w:t>
      </w:r>
      <w:r>
        <w:t xml:space="preserve">. The analysis was conducted by</w:t>
      </w:r>
      <w:r>
        <w:t xml:space="preserve"> </w:t>
      </w:r>
      <w:r>
        <w:rPr>
          <w:bCs/>
          <w:b/>
        </w:rPr>
        <w:t xml:space="preserve">kqfjgyunhq</w:t>
      </w:r>
      <w:r>
        <w:t xml:space="preserve">, a Senior Sustainability Consultant specializing in GHG Protocol. The primary objective is to quantify the greenhouse gas (GHG) emissions associated with the product\'s entire lifecycle, from material acquisition to end-of-life, adhering to the GHG Protocol Product Standard and incorporating the principles of the 2026 Land Sector and Removals (LSR) Standard where applicable. The total estimated cradle-to-grave carbon footprint for one functional unit of nuuxnwlfnx is calculated, identifying emission hotspots and providing recommendations for reduction.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the Smart Home Device nuuxnwlfnx follows the five-step methodology prescribed by the GHG Protocol Product Life Cycle Accounting and Reporting Standard. This comprehensive approach ensures transparency, accuracy, and comparability of the results.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Smart Home Device nuuxnwlfnx</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adopted is</w:t>
      </w:r>
      <w:r>
        <w:t xml:space="preserve"> </w:t>
      </w:r>
      <w:r>
        <w:rPr>
          <w:bCs/>
          <w:b/>
        </w:rPr>
        <w:t xml:space="preserve">"factory_gate"</w:t>
      </w:r>
      <w:r>
        <w:t xml:space="preserve"> </w:t>
      </w:r>
      <w:r>
        <w:t xml:space="preserve">for the direct manufacturing operations, with a cradle-to-grave perspective for the entire product lifecycle analysis, including upstream (material extraction, pre-processing, transport), core (manufacturing), and downstream (transport, use, end-of-life) activities. This ensures all significant GHG emissions associated with the product are captured.</w:t>
      </w:r>
    </w:p>
    <w:p>
      <w:pPr>
        <w:pStyle w:val="BodyText"/>
      </w:pPr>
      <w:r>
        <w:t xml:space="preserve">The following lifecycle stages are included:</w:t>
      </w:r>
    </w:p>
    <w:p>
      <w:pPr>
        <w:numPr>
          <w:ilvl w:val="0"/>
          <w:numId w:val="1001"/>
        </w:numPr>
        <w:pStyle w:val="Compact"/>
      </w:pPr>
      <w:r>
        <w:rPr>
          <w:bCs/>
          <w:b/>
        </w:rPr>
        <w:t xml:space="preserve">Material Acquisition &amp; Pre-processing:</w:t>
      </w:r>
      <w:r>
        <w:t xml:space="preserve"> </w:t>
      </w:r>
      <w:r>
        <w:t xml:space="preserve">Extraction of raw materials and their transformation into usable components.</w:t>
      </w:r>
    </w:p>
    <w:p>
      <w:pPr>
        <w:numPr>
          <w:ilvl w:val="0"/>
          <w:numId w:val="1001"/>
        </w:numPr>
        <w:pStyle w:val="Compact"/>
      </w:pPr>
      <w:r>
        <w:rPr>
          <w:bCs/>
          <w:b/>
        </w:rPr>
        <w:t xml:space="preserve">Manufacturing:</w:t>
      </w:r>
      <w:r>
        <w:t xml:space="preserve"> </w:t>
      </w:r>
      <w:r>
        <w:t xml:space="preserve">Assembly, fabrication, and packaging processes at the production facility.</w:t>
      </w:r>
    </w:p>
    <w:p>
      <w:pPr>
        <w:numPr>
          <w:ilvl w:val="0"/>
          <w:numId w:val="1001"/>
        </w:numPr>
        <w:pStyle w:val="Compact"/>
      </w:pPr>
      <w:r>
        <w:rPr>
          <w:bCs/>
          <w:b/>
        </w:rPr>
        <w:t xml:space="preserve">Transportation &amp; Distribution:</w:t>
      </w:r>
      <w:r>
        <w:t xml:space="preserve"> </w:t>
      </w:r>
      <w:r>
        <w:t xml:space="preserve">Movement of raw materials to the factory, and finished products to the customer.</w:t>
      </w:r>
    </w:p>
    <w:p>
      <w:pPr>
        <w:numPr>
          <w:ilvl w:val="0"/>
          <w:numId w:val="1001"/>
        </w:numPr>
        <w:pStyle w:val="Compact"/>
      </w:pPr>
      <w:r>
        <w:rPr>
          <w:bCs/>
          <w:b/>
        </w:rPr>
        <w:t xml:space="preserve">Use Phase:</w:t>
      </w:r>
      <w:r>
        <w:t xml:space="preserve"> </w:t>
      </w:r>
      <w:r>
        <w:t xml:space="preserve">Energy consumption during the product\'s operational lifespan.</w:t>
      </w:r>
    </w:p>
    <w:p>
      <w:pPr>
        <w:numPr>
          <w:ilvl w:val="0"/>
          <w:numId w:val="1001"/>
        </w:numPr>
        <w:pStyle w:val="Compact"/>
      </w:pPr>
      <w:r>
        <w:rPr>
          <w:bCs/>
          <w:b/>
        </w:rPr>
        <w:t xml:space="preserve">End-of-Life:</w:t>
      </w:r>
      <w:r>
        <w:t xml:space="preserve"> </w:t>
      </w:r>
      <w:r>
        <w:t xml:space="preserve">Disposal, recycling, and recovery processes after the product\'s useful life.</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downstream transportation and the use phase largely occur within Europe.</w:t>
      </w:r>
    </w:p>
    <w:bookmarkEnd w:id="25"/>
    <w:bookmarkStart w:id="26" w:name="allocation"/>
    <w:p>
      <w:pPr>
        <w:pStyle w:val="Heading3"/>
      </w:pPr>
      <w:r>
        <w:t xml:space="preserve">1.4. Allocation</w:t>
      </w:r>
    </w:p>
    <w:p>
      <w:pPr>
        <w:pStyle w:val="FirstParagraph"/>
      </w:pPr>
      <w:r>
        <w:t xml:space="preserve">Economic allocation is applied where co-products or by-products exist, ensuring that emissions are proportionally assigned to the functional unit based on its economic value relative to other outputs. For recycling, the "avoided burden" approach is used, where the recycling process provides a credit for displaced virgin material production.</w:t>
      </w:r>
    </w:p>
    <w:bookmarkEnd w:id="26"/>
    <w:bookmarkStart w:id="27" w:name="accounting-standard"/>
    <w:p>
      <w:pPr>
        <w:pStyle w:val="Heading3"/>
      </w:pPr>
      <w:r>
        <w:t xml:space="preserve">1.5. Accounting Standard</w:t>
      </w:r>
    </w:p>
    <w:p>
      <w:pPr>
        <w:pStyle w:val="FirstParagraph"/>
      </w:pPr>
      <w:r>
        <w:t xml:space="preserve">This PCF analysis is performed in strict adherence to the</w:t>
      </w:r>
      <w:r>
        <w:t xml:space="preserve"> </w:t>
      </w:r>
      <w:r>
        <w:rPr>
          <w:bCs/>
          <w:b/>
        </w:rPr>
        <w:t xml:space="preserve">GHG Protocol Product Life Cycle Accounting and Reporting Standard</w:t>
      </w:r>
      <w:r>
        <w:t xml:space="preserve">. This standard provides a robust framework for quantifying and reporting the greenhouse gas emissions associated with individual products, encompassing Scope 1, Scope 2, and Scope 3 emissions.</w:t>
      </w:r>
    </w:p>
    <w:p>
      <w:pPr>
        <w:pStyle w:val="BodyText"/>
      </w:pPr>
      <w:r>
        <w:t xml:space="preserve">Additionally, the analysis considers the principles of the</w:t>
      </w:r>
      <w:r>
        <w:t xml:space="preserve"> </w:t>
      </w:r>
      <w:r>
        <w:rPr>
          <w:bCs/>
          <w:b/>
        </w:rPr>
        <w:t xml:space="preserve">2026 Land Sector and Removals (LSR) Standard Update</w:t>
      </w:r>
      <w:r>
        <w:t xml:space="preserve">. Released on January 30, 2026, and effective January 1, 2027, the LSR Standard provides requirements for corporate GHG accounting covering emissions and carbon removals from agricultural and land use activities, and technological CO2 removals. While direct land-use emissions are not a primary factor for this specific Smart Home Device, the LSR Standard is acknowledged for its relevance to upstream biogenic materials (e.g., paper packaging) and the broader context of carbon removals and circularity initiatives, guiding future refinements in data collection and reporting.</w:t>
      </w:r>
    </w:p>
    <w:p>
      <w:r>
        <w:pict>
          <v:rect style="width:0;height:1.5pt" o:hralign="center" o:hrstd="t" o:hr="t"/>
        </w:pict>
      </w:r>
    </w:p>
    <w:bookmarkEnd w:id="27"/>
    <w:bookmarkEnd w:id="28"/>
    <w:bookmarkStart w:id="34" w:name="Xfb19d101eca9f89879e43a035837baa721eebe8"/>
    <w:p>
      <w:pPr>
        <w:pStyle w:val="Heading2"/>
      </w:pPr>
      <w:r>
        <w:t xml:space="preserve">2. &amp; 3. Lifecycle Inventory Mapping and Data Collection</w:t>
      </w:r>
    </w:p>
    <w:p>
      <w:pPr>
        <w:pStyle w:val="FirstParagraph"/>
      </w:pPr>
      <w:r>
        <w:t xml:space="preserve">This section details the critical inputs of materials and energy across the product lifecycle. Data collection primarily relies on the provided parameters, supplemented by industry-average emission factors where specific data is not available (e.g., Ecoinvent/DEFRA proxy data).</w:t>
      </w:r>
    </w:p>
    <w:bookmarkStart w:id="29" w:name="detailed-bill-of-materials-bom-analysis"/>
    <w:p>
      <w:pPr>
        <w:pStyle w:val="Heading3"/>
      </w:pPr>
      <w:r>
        <w:t xml:space="preserve">2.1. Detailed Bill of Materials (BOM) Analysis</w:t>
      </w:r>
    </w:p>
    <w:p>
      <w:pPr>
        <w:pStyle w:val="FirstParagraph"/>
      </w:pPr>
      <w:r>
        <w:t xml:space="preserve">The following Bill of Materials (BOM) data, designated as</w:t>
      </w:r>
      <w:r>
        <w:t xml:space="preserve"> </w:t>
      </w:r>
      <w:r>
        <w:rPr>
          <w:rStyle w:val="VerbatimChar"/>
        </w:rPr>
        <w:t xml:space="preserve">etusrlpk</w:t>
      </w:r>
      <w:r>
        <w:t xml:space="preserve">, was used for the high-accuracy material impact calculation:</w:t>
      </w:r>
    </w:p>
    <w:p>
      <w:pPr>
        <w:pStyle w:val="BodyText"/>
      </w:pPr>
      <w:r>
        <w:rPr>
          <w:iCs/>
          <w:i/>
        </w:rPr>
        <w:t xml:space="preserve">Provided BOM Data (parsed):</w:t>
      </w:r>
      <w:r>
        <w:t xml:space="preserve"> </w:t>
      </w:r>
      <w:r>
        <w:t xml:space="preserve">`1,Plastic Casing (ABS),Plastics,Injection Molding,0.15,kg,3.125,0.46875; 2,Circuit Board (PCB),Electronics,Assembly,1,unit,1.2,1.2; 3,Lithium Battery,Metals/Energy,Manufacturing,0.05,kg,6.308,0.3154; 4,Copper Wire,Metals,Extrusion,0.02,kg,3.524,0.07048; 5,Packaging (Cardboard),Paper/Wood,Converting,0.08,kg,1.2,0.096`</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 (proxy)</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Metals/Energy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0.315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gridSpan w:val="7"/>
          </w:tcPr>
          <w:p>
            <w:pPr>
              <w:pStyle w:val="Compact"/>
              <w:jc w:val="left"/>
            </w:pPr>
            <w:r>
              <w:rPr>
                <w:bCs/>
                <w:b/>
              </w:rPr>
              <w:t xml:space="preserve">Total Product Mass (excluding packaging)</w:t>
            </w:r>
          </w:p>
        </w:tc>
        <w:tc>
          <w:tcPr/>
          <w:p>
            <w:pPr>
              <w:pStyle w:val="Compact"/>
              <w:jc w:val="left"/>
            </w:pPr>
            <w:r>
              <w:rPr>
                <w:bCs/>
                <w:b/>
              </w:rPr>
              <w:t xml:space="preserve">0.22 kg</w:t>
            </w:r>
          </w:p>
        </w:tc>
      </w:tr>
      <w:tr>
        <w:tc>
          <w:tcPr>
            <w:gridSpan w:val="7"/>
          </w:tcPr>
          <w:p>
            <w:pPr>
              <w:pStyle w:val="Compact"/>
              <w:jc w:val="left"/>
            </w:pPr>
            <w:r>
              <w:rPr>
                <w:bCs/>
                <w:b/>
              </w:rPr>
              <w:t xml:space="preserve">Total Raw Material &amp; Component Emissions</w:t>
            </w:r>
          </w:p>
        </w:tc>
        <w:tc>
          <w:tcPr/>
          <w:p>
            <w:pPr>
              <w:pStyle w:val="Compact"/>
              <w:jc w:val="left"/>
            </w:pPr>
            <w:r>
              <w:rPr>
                <w:bCs/>
                <w:b/>
              </w:rPr>
              <w:t xml:space="preserve">2.150 kgCO2e</w:t>
            </w:r>
          </w:p>
        </w:tc>
      </w:tr>
    </w:tbl>
    <w:p>
      <w:pPr>
        <w:pStyle w:val="BodyText"/>
      </w:pPr>
      <w:r>
        <w:rPr>
          <w:iCs/>
          <w:i/>
        </w:rPr>
        <w:t xml:space="preserve">Note: The "Total Carbon" values in the table are calculated based on the provided Quantity and Emission Factor for consistency and accuracy within this report. The emission factor for "Circuit Board (PCB)" is a proxy due to the complex nature of electronics manufacturing and the lack of a universally applicable single factor, estimated based on general industry averages.</w:t>
      </w:r>
    </w:p>
    <w:bookmarkEnd w:id="29"/>
    <w:bookmarkStart w:id="30" w:name="energy-inputs-manufacturing-phase"/>
    <w:p>
      <w:pPr>
        <w:pStyle w:val="Heading3"/>
      </w:pPr>
      <w:r>
        <w:t xml:space="preserve">2.2. Energy Inputs (Manufacturing Phase)</w:t>
      </w:r>
    </w:p>
    <w:p>
      <w:pPr>
        <w:numPr>
          <w:ilvl w:val="0"/>
          <w:numId w:val="1002"/>
        </w:numPr>
        <w:pStyle w:val="Compact"/>
      </w:pPr>
      <w:r>
        <w:rPr>
          <w:bCs/>
          <w:b/>
        </w:rPr>
        <w:t xml:space="preserve">Energy Intensity (kWh/unit):</w:t>
      </w:r>
      <w:r>
        <w:t xml:space="preserve"> </w:t>
      </w:r>
      <w:r>
        <w:rPr>
          <w:rStyle w:val="VerbatimChar"/>
        </w:rPr>
        <w:t xml:space="preserve">kqvrshnirp</w:t>
      </w:r>
      <w:r>
        <w:t xml:space="preserve"> </w:t>
      </w:r>
      <w:r>
        <w:t xml:space="preserve">= 0.5 kWh/unit</w:t>
      </w:r>
    </w:p>
    <w:p>
      <w:pPr>
        <w:numPr>
          <w:ilvl w:val="0"/>
          <w:numId w:val="1002"/>
        </w:numPr>
        <w:pStyle w:val="Compact"/>
      </w:pPr>
      <w:r>
        <w:rPr>
          <w:bCs/>
          <w:b/>
        </w:rPr>
        <w:t xml:space="preserve">Renewable Energy Usage:</w:t>
      </w:r>
      <w:r>
        <w:t xml:space="preserve"> </w:t>
      </w:r>
      <w:r>
        <w:rPr>
          <w:rStyle w:val="VerbatimChar"/>
        </w:rPr>
        <w:t xml:space="preserve">grgyjhtzme</w:t>
      </w:r>
      <w:r>
        <w:t xml:space="preserve"> </w:t>
      </w:r>
      <w:r>
        <w:t xml:space="preserve">= 70%</w:t>
      </w:r>
    </w:p>
    <w:p>
      <w:pPr>
        <w:numPr>
          <w:ilvl w:val="0"/>
          <w:numId w:val="1002"/>
        </w:numPr>
        <w:pStyle w:val="Compact"/>
      </w:pPr>
      <w:r>
        <w:rPr>
          <w:bCs/>
          <w:b/>
        </w:rPr>
        <w:t xml:space="preserve">Non-renewable Electricity Consumption:</w:t>
      </w:r>
      <w:r>
        <w:t xml:space="preserve"> </w:t>
      </w:r>
      <w:r>
        <w:t xml:space="preserve">0.5 kWh/unit * (1 - 0.70) = 0.15 kWh/unit</w:t>
      </w:r>
    </w:p>
    <w:p>
      <w:pPr>
        <w:numPr>
          <w:ilvl w:val="0"/>
          <w:numId w:val="1002"/>
        </w:numPr>
        <w:pStyle w:val="Compact"/>
      </w:pPr>
      <w:r>
        <w:rPr>
          <w:bCs/>
          <w:b/>
        </w:rPr>
        <w:t xml:space="preserve">Renewable Electricity Consumption:</w:t>
      </w:r>
      <w:r>
        <w:t xml:space="preserve"> </w:t>
      </w:r>
      <w:r>
        <w:t xml:space="preserve">0.5 kWh/unit * 0.70 = 0.35 kWh/unit</w:t>
      </w:r>
    </w:p>
    <w:bookmarkEnd w:id="30"/>
    <w:bookmarkStart w:id="31" w:name="logistics-data"/>
    <w:p>
      <w:pPr>
        <w:pStyle w:val="Heading3"/>
      </w:pPr>
      <w:r>
        <w:t xml:space="preserve">2.3. Logistics Data</w:t>
      </w:r>
    </w:p>
    <w:p>
      <w:pPr>
        <w:numPr>
          <w:ilvl w:val="0"/>
          <w:numId w:val="1003"/>
        </w:numPr>
        <w:pStyle w:val="Compact"/>
      </w:pPr>
      <w:r>
        <w:rPr>
          <w:bCs/>
          <w:b/>
        </w:rPr>
        <w:t xml:space="preserve">Main Transport Mode:</w:t>
      </w:r>
      <w:r>
        <w:t xml:space="preserve"> </w:t>
      </w:r>
      <w:r>
        <w:rPr>
          <w:rStyle w:val="VerbatimChar"/>
        </w:rPr>
        <w:t xml:space="preserve">Select Mode</w:t>
      </w:r>
      <w:r>
        <w:t xml:space="preserve"> </w:t>
      </w:r>
      <w:r>
        <w:t xml:space="preserve">= Sea Freight</w:t>
      </w:r>
    </w:p>
    <w:p>
      <w:pPr>
        <w:numPr>
          <w:ilvl w:val="0"/>
          <w:numId w:val="1003"/>
        </w:numPr>
        <w:pStyle w:val="Compact"/>
      </w:pPr>
      <w:r>
        <w:rPr>
          <w:bCs/>
          <w:b/>
        </w:rPr>
        <w:t xml:space="preserve">Main Transport Distance (Factory to Europe Distribution Hub):</w:t>
      </w:r>
      <w:r>
        <w:t xml:space="preserve"> </w:t>
      </w:r>
      <w:r>
        <w:rPr>
          <w:rStyle w:val="VerbatimChar"/>
        </w:rPr>
        <w:t xml:space="preserve">rdzqvkplsg</w:t>
      </w:r>
      <w:r>
        <w:t xml:space="preserve"> </w:t>
      </w:r>
      <w:r>
        <w:t xml:space="preserve">= 15,000 km</w:t>
      </w:r>
    </w:p>
    <w:p>
      <w:pPr>
        <w:numPr>
          <w:ilvl w:val="0"/>
          <w:numId w:val="1003"/>
        </w:numPr>
        <w:pStyle w:val="Compact"/>
      </w:pPr>
      <w:r>
        <w:rPr>
          <w:bCs/>
          <w:b/>
        </w:rPr>
        <w:t xml:space="preserve">Last-Mile Delivery Channel (within Europe):</w:t>
      </w:r>
      <w:r>
        <w:t xml:space="preserve"> </w:t>
      </w:r>
      <w:r>
        <w:rPr>
          <w:rStyle w:val="VerbatimChar"/>
        </w:rPr>
        <w:t xml:space="preserve">Delivery Type</w:t>
      </w:r>
      <w:r>
        <w:t xml:space="preserve"> </w:t>
      </w:r>
      <w:r>
        <w:t xml:space="preserve">= Small Parcel Van</w:t>
      </w:r>
    </w:p>
    <w:p>
      <w:pPr>
        <w:numPr>
          <w:ilvl w:val="0"/>
          <w:numId w:val="1003"/>
        </w:numPr>
        <w:pStyle w:val="Compact"/>
      </w:pPr>
      <w:r>
        <w:rPr>
          <w:bCs/>
          <w:b/>
        </w:rPr>
        <w:t xml:space="preserve">Estimated Last-Mile Distance:</w:t>
      </w:r>
      <w:r>
        <w:t xml:space="preserve"> </w:t>
      </w:r>
      <w:r>
        <w:t xml:space="preserve">500 km (Assumed average)</w:t>
      </w:r>
    </w:p>
    <w:p>
      <w:pPr>
        <w:numPr>
          <w:ilvl w:val="0"/>
          <w:numId w:val="1003"/>
        </w:numPr>
        <w:pStyle w:val="Compact"/>
      </w:pPr>
      <w:r>
        <w:rPr>
          <w:bCs/>
          <w:b/>
        </w:rPr>
        <w:t xml:space="preserve">Total Product Mass for Transport:</w:t>
      </w:r>
      <w:r>
        <w:t xml:space="preserve"> </w:t>
      </w:r>
      <w:r>
        <w:t xml:space="preserve">0.3 kg (assuming final assembled product + minimal internal packaging for transport, based on BOM for final product of 0.22kg + some margin).</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 (pzsvixeltr):</w:t>
      </w:r>
      <w:r>
        <w:t xml:space="preserve"> </w:t>
      </w:r>
      <w:r>
        <w:t xml:space="preserve">5 years</w:t>
      </w:r>
    </w:p>
    <w:p>
      <w:pPr>
        <w:numPr>
          <w:ilvl w:val="0"/>
          <w:numId w:val="1004"/>
        </w:numPr>
        <w:pStyle w:val="Compact"/>
      </w:pPr>
      <w:r>
        <w:rPr>
          <w:bCs/>
          <w:b/>
        </w:rPr>
        <w:t xml:space="preserve">Energy Consumption in Use (stqjktgisv):</w:t>
      </w:r>
      <w:r>
        <w:t xml:space="preserve"> </w:t>
      </w:r>
      <w:r>
        <w:t xml:space="preserve">10 kWh/year</w:t>
      </w:r>
    </w:p>
    <w:p>
      <w:pPr>
        <w:numPr>
          <w:ilvl w:val="0"/>
          <w:numId w:val="1004"/>
        </w:numPr>
        <w:pStyle w:val="Compact"/>
      </w:pPr>
      <w:r>
        <w:rPr>
          <w:bCs/>
          <w:b/>
        </w:rPr>
        <w:t xml:space="preserve">Total Energy Consumption in Use:</w:t>
      </w:r>
      <w:r>
        <w:t xml:space="preserve"> </w:t>
      </w:r>
      <w:r>
        <w:t xml:space="preserve">5 years * 10 kWh/year = 50 kWh</w:t>
      </w:r>
    </w:p>
    <w:bookmarkEnd w:id="32"/>
    <w:bookmarkStart w:id="33" w:name="end-of-life-eol-scenarios"/>
    <w:p>
      <w:pPr>
        <w:pStyle w:val="Heading3"/>
      </w:pPr>
      <w:r>
        <w:t xml:space="preserve">2.5. End-of-Life (EoL) Scenarios</w:t>
      </w:r>
    </w:p>
    <w:p>
      <w:pPr>
        <w:numPr>
          <w:ilvl w:val="0"/>
          <w:numId w:val="1005"/>
        </w:numPr>
        <w:pStyle w:val="Compact"/>
      </w:pPr>
      <w:r>
        <w:rPr>
          <w:bCs/>
          <w:b/>
        </w:rPr>
        <w:t xml:space="preserve">Recyclability Percentage (gqvdkevxdk):</w:t>
      </w:r>
      <w:r>
        <w:t xml:space="preserve"> </w:t>
      </w:r>
      <w:r>
        <w:t xml:space="preserve">60%</w:t>
      </w:r>
    </w:p>
    <w:p>
      <w:pPr>
        <w:numPr>
          <w:ilvl w:val="0"/>
          <w:numId w:val="1005"/>
        </w:numPr>
        <w:pStyle w:val="Compact"/>
      </w:pPr>
      <w:r>
        <w:rPr>
          <w:bCs/>
          <w:b/>
        </w:rPr>
        <w:t xml:space="preserve">Circular/Take-back Programs (jdrxempdhq):</w:t>
      </w:r>
      <w:r>
        <w:t xml:space="preserve"> </w:t>
      </w:r>
      <w:r>
        <w:t xml:space="preserve">Yes, with local collection points. (This will be factored as an enabler for the recyclability percentage).</w:t>
      </w:r>
    </w:p>
    <w:p>
      <w:pPr>
        <w:numPr>
          <w:ilvl w:val="0"/>
          <w:numId w:val="1005"/>
        </w:numPr>
        <w:pStyle w:val="Compact"/>
      </w:pPr>
      <w:r>
        <w:rPr>
          <w:bCs/>
          <w:b/>
        </w:rPr>
        <w:t xml:space="preserve">Remaining Product for Disposal:</w:t>
      </w:r>
      <w:r>
        <w:t xml:space="preserve"> </w:t>
      </w:r>
      <w:r>
        <w:t xml:space="preserve">40%</w:t>
      </w:r>
    </w:p>
    <w:p>
      <w:r>
        <w:pict>
          <v:rect style="width:0;height:1.5pt" o:hralign="center" o:hrstd="t" o:hr="t"/>
        </w:pict>
      </w:r>
    </w:p>
    <w:bookmarkEnd w:id="33"/>
    <w:bookmarkEnd w:id="34"/>
    <w:bookmarkStart w:id="47"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 into Scope 1 (direct), Scope 2 (purchased energy), and Scope 3 (value chain). All calculations use representative industry-standard emission factors, primarily sourced as proxies from publicly available databases (e.g., DEFRA, Ecoinvent) where specific primary data was not provided.</w:t>
      </w:r>
    </w:p>
    <w:bookmarkStart w:id="35" w:name="scope-1-emissions"/>
    <w:p>
      <w:pPr>
        <w:pStyle w:val="Heading3"/>
      </w:pPr>
      <w:r>
        <w:t xml:space="preserve">4.1. Scope 1 Emissions</w:t>
      </w:r>
    </w:p>
    <w:p>
      <w:pPr>
        <w:pStyle w:val="FirstParagraph"/>
      </w:pPr>
      <w:r>
        <w:t xml:space="preserve">Direct GHG emissions from sources owned or controlled by urinlpvexv. For a product-level PCF with a "factory_gate" system boundary focused on the product itself, significant Scope 1 emissions (e.g., from on-site fuel combustion for manufacturing processes not related to electricity generation) are assumed to be negligible or implicitly covered by Scope 2 energy intensity if no other direct process emissions are specified. For this analysis, Scope 1 is considered minimal given the manufacturing focus on purchased electricity for the product unit.</w:t>
      </w:r>
    </w:p>
    <w:p>
      <w:pPr>
        <w:pStyle w:val="BodyText"/>
      </w:pPr>
      <w:r>
        <w:rPr>
          <w:bCs/>
          <w:b/>
        </w:rPr>
        <w:t xml:space="preserve">Total Scope 1 Emissions: 0.00 kgCO2e</w:t>
      </w:r>
      <w:r>
        <w:t xml:space="preserve"> </w:t>
      </w:r>
      <w:r>
        <w:t xml:space="preserve">(Assumed negligible for product manufacturing beyond purchased electricity inputs).</w:t>
      </w:r>
    </w:p>
    <w:bookmarkEnd w:id="35"/>
    <w:bookmarkStart w:id="36" w:name="scope-2-emissions-manufacturing-phase"/>
    <w:p>
      <w:pPr>
        <w:pStyle w:val="Heading3"/>
      </w:pPr>
      <w:r>
        <w:t xml:space="preserve">4.2. Scope 2 Emissions (Manufacturing Phase)</w:t>
      </w:r>
    </w:p>
    <w:p>
      <w:pPr>
        <w:pStyle w:val="FirstParagraph"/>
      </w:pPr>
      <w:r>
        <w:t xml:space="preserve">Indirect GHG emissions from the generation of purchased electricity consumed by urinlpvexv\'s manufacturing facility.</w:t>
      </w:r>
    </w:p>
    <w:p>
      <w:pPr>
        <w:numPr>
          <w:ilvl w:val="0"/>
          <w:numId w:val="1006"/>
        </w:numPr>
        <w:pStyle w:val="Compact"/>
      </w:pPr>
      <w:r>
        <w:rPr>
          <w:bCs/>
          <w:b/>
        </w:rPr>
        <w:t xml:space="preserve">Total Energy Intensity:</w:t>
      </w:r>
      <w:r>
        <w:t xml:space="preserve"> </w:t>
      </w:r>
      <w:r>
        <w:t xml:space="preserve">0.5 kWh/unit</w:t>
      </w:r>
    </w:p>
    <w:p>
      <w:pPr>
        <w:numPr>
          <w:ilvl w:val="0"/>
          <w:numId w:val="1006"/>
        </w:numPr>
        <w:pStyle w:val="Compact"/>
      </w:pPr>
      <w:r>
        <w:rPr>
          <w:bCs/>
          <w:b/>
        </w:rPr>
        <w:t xml:space="preserve">Renewable Energy Usage:</w:t>
      </w:r>
      <w:r>
        <w:t xml:space="preserve"> </w:t>
      </w:r>
      <w:r>
        <w:t xml:space="preserve">70%</w:t>
      </w:r>
    </w:p>
    <w:p>
      <w:pPr>
        <w:numPr>
          <w:ilvl w:val="0"/>
          <w:numId w:val="1006"/>
        </w:numPr>
        <w:pStyle w:val="Compact"/>
      </w:pPr>
      <w:r>
        <w:rPr>
          <w:bCs/>
          <w:b/>
        </w:rPr>
        <w:t xml:space="preserve">Non-renewable Electricity Share:</w:t>
      </w:r>
      <w:r>
        <w:t xml:space="preserve"> </w:t>
      </w:r>
      <w:r>
        <w:t xml:space="preserve">30% (1 - 0.70)</w:t>
      </w:r>
    </w:p>
    <w:p>
      <w:pPr>
        <w:numPr>
          <w:ilvl w:val="0"/>
          <w:numId w:val="1006"/>
        </w:numPr>
        <w:pStyle w:val="Compact"/>
      </w:pPr>
      <w:r>
        <w:rPr>
          <w:bCs/>
          <w:b/>
        </w:rPr>
        <w:t xml:space="preserve">China Grid Emission Factor:</w:t>
      </w:r>
      <w:r>
        <w:t xml:space="preserve"> </w:t>
      </w:r>
      <w:r>
        <w:t xml:space="preserve">0.62 kgCO2e/kWh (National average for 2023)</w:t>
      </w:r>
    </w:p>
    <w:p>
      <w:pPr>
        <w:pStyle w:val="FirstParagraph"/>
      </w:pPr>
      <w:r>
        <w:rPr>
          <w:bCs/>
          <w:b/>
        </w:rPr>
        <w:t xml:space="preserve">Calculation:</w:t>
      </w:r>
      <w:r>
        <w:t xml:space="preserve"> </w:t>
      </w:r>
      <w:r>
        <w:t xml:space="preserve">(0.5 kWh/unit * 0.30) * 0.62 kgCO2e/kWh = 0.15 kWh/unit * 0.62 kgCO2e/kWh = 0.093 kgCO2e/unit</w:t>
      </w:r>
    </w:p>
    <w:p>
      <w:pPr>
        <w:pStyle w:val="BodyText"/>
      </w:pPr>
      <w:r>
        <w:rPr>
          <w:bCs/>
          <w:b/>
        </w:rPr>
        <w:t xml:space="preserve">Total Scope 2 Emissions (Manufacturing): 0.093 kgCO2e</w:t>
      </w:r>
    </w:p>
    <w:bookmarkEnd w:id="36"/>
    <w:bookmarkStart w:id="45" w:name="scope-3-emissions-value-chain"/>
    <w:p>
      <w:pPr>
        <w:pStyle w:val="Heading3"/>
      </w:pPr>
      <w:r>
        <w:t xml:space="preserve">4.3. Scope 3 Emissions (Value Chain)</w:t>
      </w:r>
    </w:p>
    <w:p>
      <w:pPr>
        <w:pStyle w:val="FirstParagraph"/>
      </w:pPr>
      <w:r>
        <w:t xml:space="preserve">All other indirect emissions occurring in the value chain, both upstream and downstream. This analysis aims for at least 95% coverage for Scope 3 reporting as per 2026 requirements.</w:t>
      </w:r>
    </w:p>
    <w:bookmarkStart w:id="39" w:name="upstream-emissions"/>
    <w:p>
      <w:pPr>
        <w:pStyle w:val="Heading4"/>
      </w:pPr>
      <w:r>
        <w:t xml:space="preserve">4.3.1. Upstream Emissions</w:t>
      </w:r>
    </w:p>
    <w:bookmarkStart w:id="37" w:name="Xcaf14efed1b3dcff46a7bcce23d56a483598ace"/>
    <w:p>
      <w:pPr>
        <w:pStyle w:val="Heading5"/>
      </w:pPr>
      <w:r>
        <w:t xml:space="preserve">4.3.1.1. Material Acquisition &amp; Pre-processing (Purchased Goods and Services)</w:t>
      </w:r>
    </w:p>
    <w:p>
      <w:pPr>
        <w:pStyle w:val="FirstParagraph"/>
      </w:pPr>
      <w:r>
        <w:t xml:space="preserve">These emissions are directly derived from the "Total Raw Material &amp; Component Emissions" calculated from the BOM.</w:t>
      </w:r>
    </w:p>
    <w:p>
      <w:pPr>
        <w:pStyle w:val="BodyText"/>
      </w:pPr>
      <w:r>
        <w:rPr>
          <w:bCs/>
          <w:b/>
        </w:rPr>
        <w:t xml:space="preserve">Total Material Acquisition Emissions: 2.150 kgCO2e</w:t>
      </w:r>
    </w:p>
    <w:bookmarkEnd w:id="37"/>
    <w:bookmarkStart w:id="38" w:name="X5e969a396cff13709bba5410ab0c0cee4139260"/>
    <w:p>
      <w:pPr>
        <w:pStyle w:val="Heading5"/>
      </w:pPr>
      <w:r>
        <w:t xml:space="preserve">4.3.1.2. Upstream Transportation and Distribution (Materials to Factory)</w:t>
      </w:r>
    </w:p>
    <w:p>
      <w:pPr>
        <w:numPr>
          <w:ilvl w:val="0"/>
          <w:numId w:val="1007"/>
        </w:numPr>
        <w:pStyle w:val="Compact"/>
      </w:pPr>
      <w:r>
        <w:rPr>
          <w:bCs/>
          <w:b/>
        </w:rPr>
        <w:t xml:space="preserve">Average Upstream Transport Distance (rdzqvkplsg):</w:t>
      </w:r>
      <w:r>
        <w:t xml:space="preserve"> </w:t>
      </w:r>
      <w:r>
        <w:t xml:space="preserve">15,000 km (for main components)</w:t>
      </w:r>
    </w:p>
    <w:p>
      <w:pPr>
        <w:numPr>
          <w:ilvl w:val="0"/>
          <w:numId w:val="1007"/>
        </w:numPr>
        <w:pStyle w:val="Compact"/>
      </w:pPr>
      <w:r>
        <w:rPr>
          <w:bCs/>
          <w:b/>
        </w:rPr>
        <w:t xml:space="preserve">Primary Transport Mode (Select Mode):</w:t>
      </w:r>
      <w:r>
        <w:t xml:space="preserve"> </w:t>
      </w:r>
      <w:r>
        <w:t xml:space="preserve">Sea Freight (container ship)</w:t>
      </w:r>
    </w:p>
    <w:p>
      <w:pPr>
        <w:numPr>
          <w:ilvl w:val="0"/>
          <w:numId w:val="1007"/>
        </w:numPr>
        <w:pStyle w:val="Compact"/>
      </w:pPr>
      <w:r>
        <w:rPr>
          <w:bCs/>
          <w:b/>
        </w:rPr>
        <w:t xml:space="preserve">Sea Freight Emission Factor:</w:t>
      </w:r>
      <w:r>
        <w:t xml:space="preserve"> </w:t>
      </w:r>
      <w:r>
        <w:t xml:space="preserve">0.016 kgCO2e/tonne-km</w:t>
      </w:r>
    </w:p>
    <w:p>
      <w:pPr>
        <w:numPr>
          <w:ilvl w:val="0"/>
          <w:numId w:val="1007"/>
        </w:numPr>
        <w:pStyle w:val="Compact"/>
      </w:pPr>
      <w:r>
        <w:rPr>
          <w:bCs/>
          <w:b/>
        </w:rPr>
        <w:t xml:space="preserve">Total Product Mass:</w:t>
      </w:r>
      <w:r>
        <w:t xml:space="preserve"> </w:t>
      </w:r>
      <w:r>
        <w:t xml:space="preserve">0.22 kg (0.00022 tonnes)</w:t>
      </w:r>
    </w:p>
    <w:p>
      <w:pPr>
        <w:pStyle w:val="FirstParagraph"/>
      </w:pPr>
      <w:r>
        <w:rPr>
          <w:bCs/>
          <w:b/>
        </w:rPr>
        <w:t xml:space="preserve">Calculation:</w:t>
      </w:r>
      <w:r>
        <w:t xml:space="preserve"> </w:t>
      </w:r>
      <w:r>
        <w:t xml:space="preserve">0.00022 tonnes * 15,000 km * 0.016 kgCO2e/tonne-km = 0.0528 kgCO2e</w:t>
      </w:r>
    </w:p>
    <w:p>
      <w:pPr>
        <w:pStyle w:val="BodyText"/>
      </w:pPr>
      <w:r>
        <w:rPr>
          <w:bCs/>
          <w:b/>
        </w:rPr>
        <w:t xml:space="preserve">Total Upstream Transport Emissions: 0.053 kgCO2e</w:t>
      </w:r>
    </w:p>
    <w:bookmarkEnd w:id="38"/>
    <w:bookmarkEnd w:id="39"/>
    <w:bookmarkStart w:id="43" w:name="downstream-emissions"/>
    <w:p>
      <w:pPr>
        <w:pStyle w:val="Heading4"/>
      </w:pPr>
      <w:r>
        <w:t xml:space="preserve">4.3.2. Downstream Emissions</w:t>
      </w:r>
    </w:p>
    <w:bookmarkStart w:id="40" w:name="Xf9db9ab67636feec50c259f3704480b359016b8"/>
    <w:p>
      <w:pPr>
        <w:pStyle w:val="Heading5"/>
      </w:pPr>
      <w:r>
        <w:t xml:space="preserve">4.3.2.1. Downstream Transportation and Distribution (Factory to Customer)</w:t>
      </w:r>
    </w:p>
    <w:p>
      <w:pPr>
        <w:numPr>
          <w:ilvl w:val="0"/>
          <w:numId w:val="1008"/>
        </w:numPr>
        <w:pStyle w:val="Compact"/>
      </w:pPr>
      <w:r>
        <w:rPr>
          <w:bCs/>
          <w:b/>
        </w:rPr>
        <w:t xml:space="preserve">Main Transport (Factory to Europe Distribution Hub):</w:t>
      </w:r>
    </w:p>
    <w:p>
      <w:pPr>
        <w:numPr>
          <w:ilvl w:val="0"/>
          <w:numId w:val="1008"/>
        </w:numPr>
        <w:pStyle w:val="Compact"/>
      </w:pPr>
      <w:r>
        <w:t xml:space="preserve">Distance: 15,000 km</w:t>
      </w:r>
    </w:p>
    <w:p>
      <w:pPr>
        <w:numPr>
          <w:ilvl w:val="0"/>
          <w:numId w:val="1008"/>
        </w:numPr>
        <w:pStyle w:val="Compact"/>
      </w:pPr>
      <w:r>
        <w:t xml:space="preserve">Mode: Sea Freight (container ship)</w:t>
      </w:r>
    </w:p>
    <w:p>
      <w:pPr>
        <w:numPr>
          <w:ilvl w:val="0"/>
          <w:numId w:val="1008"/>
        </w:numPr>
        <w:pStyle w:val="Compact"/>
      </w:pPr>
      <w:r>
        <w:t xml:space="preserve">Emission Factor: 0.016 kgCO2e/tonne-km</w:t>
      </w:r>
    </w:p>
    <w:p>
      <w:pPr>
        <w:numPr>
          <w:ilvl w:val="0"/>
          <w:numId w:val="1008"/>
        </w:numPr>
        <w:pStyle w:val="Compact"/>
      </w:pPr>
      <w:r>
        <w:t xml:space="preserve">Product Mass: 0.3 kg (0.0003 tonnes) (Assumed slightly higher for transportation packaging)</w:t>
      </w:r>
    </w:p>
    <w:p>
      <w:pPr>
        <w:numPr>
          <w:ilvl w:val="0"/>
          <w:numId w:val="1008"/>
        </w:numPr>
        <w:pStyle w:val="Compact"/>
      </w:pPr>
      <w:r>
        <w:t xml:space="preserve">Calculation: 0.0003 tonnes * 15,000 km * 0.016 kgCO2e/tonne-km = 0.072 kgCO2e</w:t>
      </w:r>
    </w:p>
    <w:p>
      <w:pPr>
        <w:numPr>
          <w:ilvl w:val="0"/>
          <w:numId w:val="1008"/>
        </w:numPr>
        <w:pStyle w:val="Compact"/>
      </w:pPr>
      <w:r>
        <w:rPr>
          <w:bCs/>
          <w:b/>
        </w:rPr>
        <w:t xml:space="preserve">Last-Mile Delivery (within Europe):</w:t>
      </w:r>
    </w:p>
    <w:p>
      <w:pPr>
        <w:numPr>
          <w:ilvl w:val="0"/>
          <w:numId w:val="1008"/>
        </w:numPr>
        <w:pStyle w:val="Compact"/>
      </w:pPr>
      <w:r>
        <w:t xml:space="preserve">Distance: 500 km</w:t>
      </w:r>
    </w:p>
    <w:p>
      <w:pPr>
        <w:numPr>
          <w:ilvl w:val="0"/>
          <w:numId w:val="1008"/>
        </w:numPr>
        <w:pStyle w:val="Compact"/>
      </w:pPr>
      <w:r>
        <w:t xml:space="preserve">Mode: Small Parcel Van</w:t>
      </w:r>
    </w:p>
    <w:p>
      <w:pPr>
        <w:numPr>
          <w:ilvl w:val="0"/>
          <w:numId w:val="1008"/>
        </w:numPr>
        <w:pStyle w:val="Compact"/>
      </w:pPr>
      <w:r>
        <w:t xml:space="preserve">Road Freight Emission Factor (proxy for small parcel van, slightly higher than HGV): 0.08 kgCO2e/tonne-km (proxy for general road freight)</w:t>
      </w:r>
    </w:p>
    <w:p>
      <w:pPr>
        <w:numPr>
          <w:ilvl w:val="0"/>
          <w:numId w:val="1008"/>
        </w:numPr>
        <w:pStyle w:val="Compact"/>
      </w:pPr>
      <w:r>
        <w:t xml:space="preserve">Product Mass: 0.3 kg (0.0003 tonnes)</w:t>
      </w:r>
    </w:p>
    <w:p>
      <w:pPr>
        <w:numPr>
          <w:ilvl w:val="0"/>
          <w:numId w:val="1008"/>
        </w:numPr>
        <w:pStyle w:val="Compact"/>
      </w:pPr>
      <w:r>
        <w:t xml:space="preserve">Calculation: 0.0003 tonnes * 500 km * 0.08 kgCO2e/tonne-km = 0.012 kgCO2e</w:t>
      </w:r>
    </w:p>
    <w:p>
      <w:pPr>
        <w:pStyle w:val="FirstParagraph"/>
      </w:pPr>
      <w:r>
        <w:rPr>
          <w:bCs/>
          <w:b/>
        </w:rPr>
        <w:t xml:space="preserve">Total Downstream Transport Emissions: 0.072 + 0.012 = 0.084 kgCO2e</w:t>
      </w:r>
    </w:p>
    <w:bookmarkEnd w:id="40"/>
    <w:bookmarkStart w:id="41" w:name="X253154c4d225c93d81bfcec2bba74e2a3bd3c80"/>
    <w:p>
      <w:pPr>
        <w:pStyle w:val="Heading5"/>
      </w:pPr>
      <w:r>
        <w:t xml:space="preserve">4.3.2.2. Use of Sold Products (Energy Consumption in Use)</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 (stqjktgisv):</w:t>
      </w:r>
      <w:r>
        <w:t xml:space="preserve"> </w:t>
      </w:r>
      <w:r>
        <w:t xml:space="preserve">10 kWh/year</w:t>
      </w:r>
    </w:p>
    <w:p>
      <w:pPr>
        <w:numPr>
          <w:ilvl w:val="0"/>
          <w:numId w:val="1009"/>
        </w:numPr>
        <w:pStyle w:val="Compact"/>
      </w:pPr>
      <w:r>
        <w:rPr>
          <w:bCs/>
          <w:b/>
        </w:rPr>
        <w:t xml:space="preserve">Total Energy Consumption:</w:t>
      </w:r>
      <w:r>
        <w:t xml:space="preserve"> </w:t>
      </w:r>
      <w:r>
        <w:t xml:space="preserve">50 kWh</w:t>
      </w:r>
    </w:p>
    <w:p>
      <w:pPr>
        <w:numPr>
          <w:ilvl w:val="0"/>
          <w:numId w:val="1009"/>
        </w:numPr>
        <w:pStyle w:val="Compact"/>
      </w:pPr>
      <w:r>
        <w:rPr>
          <w:bCs/>
          <w:b/>
        </w:rPr>
        <w:t xml:space="preserve">EU Average Grid Emission Factor:</w:t>
      </w:r>
      <w:r>
        <w:t xml:space="preserve"> </w:t>
      </w:r>
      <w:r>
        <w:t xml:space="preserve">0.25 kgCO2e/kWh (proxy for European consumption)</w:t>
      </w:r>
    </w:p>
    <w:p>
      <w:pPr>
        <w:pStyle w:val="FirstParagraph"/>
      </w:pPr>
      <w:r>
        <w:rPr>
          <w:bCs/>
          <w:b/>
        </w:rPr>
        <w:t xml:space="preserve">Calculation:</w:t>
      </w:r>
      <w:r>
        <w:t xml:space="preserve"> </w:t>
      </w:r>
      <w:r>
        <w:t xml:space="preserve">50 kWh * 0.25 kgCO2e/kWh = 12.500 kgCO2e</w:t>
      </w:r>
    </w:p>
    <w:p>
      <w:pPr>
        <w:pStyle w:val="BodyText"/>
      </w:pPr>
      <w:r>
        <w:rPr>
          <w:bCs/>
          <w:b/>
        </w:rPr>
        <w:t xml:space="preserve">Total Use Phase Emissions: 12.500 kgCO2e</w:t>
      </w:r>
    </w:p>
    <w:bookmarkEnd w:id="41"/>
    <w:bookmarkStart w:id="42" w:name="end-of-life-treatment-of-sold-products"/>
    <w:p>
      <w:pPr>
        <w:pStyle w:val="Heading5"/>
      </w:pPr>
      <w:r>
        <w:t xml:space="preserve">4.3.2.3. End-of-Life Treatment of Sold Products</w:t>
      </w:r>
    </w:p>
    <w:p>
      <w:pPr>
        <w:numPr>
          <w:ilvl w:val="0"/>
          <w:numId w:val="1010"/>
        </w:numPr>
        <w:pStyle w:val="Compact"/>
      </w:pPr>
      <w:r>
        <w:rPr>
          <w:bCs/>
          <w:b/>
        </w:rPr>
        <w:t xml:space="preserve">Total Product Mass (at EoL):</w:t>
      </w:r>
      <w:r>
        <w:t xml:space="preserve"> </w:t>
      </w:r>
      <w:r>
        <w:t xml:space="preserve">0.22 kg (excluding packaging, as packaging is typically separate)</w:t>
      </w:r>
    </w:p>
    <w:p>
      <w:pPr>
        <w:numPr>
          <w:ilvl w:val="0"/>
          <w:numId w:val="1010"/>
        </w:numPr>
        <w:pStyle w:val="Compact"/>
      </w:pPr>
      <w:r>
        <w:rPr>
          <w:bCs/>
          <w:b/>
        </w:rPr>
        <w:t xml:space="preserve">Recyclability Percentage (gqvdkevxdk):</w:t>
      </w:r>
      <w:r>
        <w:t xml:space="preserve"> </w:t>
      </w:r>
      <w:r>
        <w:t xml:space="preserve">60%</w:t>
      </w:r>
    </w:p>
    <w:p>
      <w:pPr>
        <w:numPr>
          <w:ilvl w:val="0"/>
          <w:numId w:val="1010"/>
        </w:numPr>
        <w:pStyle w:val="Compact"/>
      </w:pPr>
      <w:r>
        <w:rPr>
          <w:bCs/>
          <w:b/>
        </w:rPr>
        <w:t xml:space="preserve">Disposal Percentage:</w:t>
      </w:r>
      <w:r>
        <w:t xml:space="preserve"> </w:t>
      </w:r>
      <w:r>
        <w:t xml:space="preserve">40% (1 - 0.60)</w:t>
      </w:r>
    </w:p>
    <w:p>
      <w:pPr>
        <w:numPr>
          <w:ilvl w:val="0"/>
          <w:numId w:val="1010"/>
        </w:numPr>
        <w:pStyle w:val="Compact"/>
      </w:pPr>
      <w:r>
        <w:rPr>
          <w:bCs/>
          <w:b/>
        </w:rPr>
        <w:t xml:space="preserve">Circular/Take-back Programs (jdrxempdhq):</w:t>
      </w:r>
      <w:r>
        <w:t xml:space="preserve"> </w:t>
      </w:r>
      <w:r>
        <w:t xml:space="preserve">Yes, facilitating recycling.</w:t>
      </w:r>
    </w:p>
    <w:p>
      <w:pPr>
        <w:pStyle w:val="FirstParagraph"/>
      </w:pPr>
      <w:r>
        <w:rPr>
          <w:bCs/>
          <w:b/>
        </w:rPr>
        <w:t xml:space="preserve">Disposal Emissions:</w:t>
      </w:r>
    </w:p>
    <w:p>
      <w:pPr>
        <w:numPr>
          <w:ilvl w:val="0"/>
          <w:numId w:val="1011"/>
        </w:numPr>
        <w:pStyle w:val="Compact"/>
      </w:pPr>
      <w:r>
        <w:t xml:space="preserve">Mass for Disposal: 0.22 kg * 0.40 = 0.088 kg</w:t>
      </w:r>
    </w:p>
    <w:p>
      <w:pPr>
        <w:numPr>
          <w:ilvl w:val="0"/>
          <w:numId w:val="1011"/>
        </w:numPr>
        <w:pStyle w:val="Compact"/>
      </w:pPr>
      <w:r>
        <w:t xml:space="preserve">Landfill/Incineration Emission Factor (proxy for mixed waste): 0.5 kgCO2e/kg (simplified)</w:t>
      </w:r>
    </w:p>
    <w:p>
      <w:pPr>
        <w:numPr>
          <w:ilvl w:val="0"/>
          <w:numId w:val="1011"/>
        </w:numPr>
        <w:pStyle w:val="Compact"/>
      </w:pPr>
      <w:r>
        <w:t xml:space="preserve">Calculation: 0.088 kg * 0.5 kgCO2e/kg = 0.044 kgCO2e</w:t>
      </w:r>
    </w:p>
    <w:p>
      <w:pPr>
        <w:pStyle w:val="FirstParagraph"/>
      </w:pPr>
      <w:r>
        <w:rPr>
          <w:bCs/>
          <w:b/>
        </w:rPr>
        <w:t xml:space="preserve">Recycling Impact (Net Emissions/Avoided Emissions):</w:t>
      </w:r>
    </w:p>
    <w:p>
      <w:pPr>
        <w:numPr>
          <w:ilvl w:val="0"/>
          <w:numId w:val="1012"/>
        </w:numPr>
        <w:pStyle w:val="Compact"/>
      </w:pPr>
      <w:r>
        <w:t xml:space="preserve">Mass for Recycling: 0.22 kg * 0.60 = 0.132 kg</w:t>
      </w:r>
    </w:p>
    <w:p>
      <w:pPr>
        <w:numPr>
          <w:ilvl w:val="0"/>
          <w:numId w:val="1012"/>
        </w:numPr>
        <w:pStyle w:val="Compact"/>
      </w:pPr>
      <w:r>
        <w:t xml:space="preserve">Recycling Process Emission Factor (e.g., plastics recycling): 0.202 kgCO2e/kg (emissions from the recycling process itself)</w:t>
      </w:r>
    </w:p>
    <w:p>
      <w:pPr>
        <w:numPr>
          <w:ilvl w:val="0"/>
          <w:numId w:val="1012"/>
        </w:numPr>
        <w:pStyle w:val="Compact"/>
      </w:pPr>
      <w:r>
        <w:t xml:space="preserve">Avoided Virgin Material Emission Credit (e.g., plastics): -2.0 kgCO2e/kg (approximate avoided emissions for virgin material production)</w:t>
      </w:r>
    </w:p>
    <w:p>
      <w:pPr>
        <w:numPr>
          <w:ilvl w:val="0"/>
          <w:numId w:val="1012"/>
        </w:numPr>
        <w:pStyle w:val="Compact"/>
      </w:pPr>
      <w:r>
        <w:t xml:space="preserve">Net impact per kg recycled: 0.202 - 2.0 = -1.798 kgCO2e/kg (This means a net benefit)</w:t>
      </w:r>
    </w:p>
    <w:p>
      <w:pPr>
        <w:numPr>
          <w:ilvl w:val="0"/>
          <w:numId w:val="1012"/>
        </w:numPr>
        <w:pStyle w:val="Compact"/>
      </w:pPr>
      <w:r>
        <w:t xml:space="preserve">Calculation: 0.132 kg * -1.798 kgCO2e/kg = -0.237 kgCO2e</w:t>
      </w:r>
    </w:p>
    <w:p>
      <w:pPr>
        <w:pStyle w:val="FirstParagraph"/>
      </w:pPr>
      <w:r>
        <w:rPr>
          <w:bCs/>
          <w:b/>
        </w:rPr>
        <w:t xml:space="preserve">Total End-of-Life Emissions: 0.044 kgCO2e (disposal) - 0.237 kgCO2e (recycling benefit) = -0.193 kgCO2e</w:t>
      </w:r>
    </w:p>
    <w:p>
      <w:pPr>
        <w:pStyle w:val="BodyText"/>
      </w:pPr>
      <w:r>
        <w:rPr>
          <w:iCs/>
          <w:i/>
        </w:rPr>
        <w:t xml:space="preserve">Note: The negative value for End-of-Life emissions indicates a net environmental benefit due to the high recyclability of the product components and the assumed avoided emissions from virgin material production, aligned with circular economy principles.</w:t>
      </w:r>
    </w:p>
    <w:bookmarkEnd w:id="42"/>
    <w:bookmarkEnd w:id="43"/>
    <w:bookmarkStart w:id="44" w:name="scope-3-coverage-compliance"/>
    <w:p>
      <w:pPr>
        <w:pStyle w:val="Heading4"/>
      </w:pPr>
      <w:r>
        <w:t xml:space="preserve">4.3.3. Scope 3 Coverage Compliance</w:t>
      </w:r>
    </w:p>
    <w:p>
      <w:pPr>
        <w:pStyle w:val="FirstParagraph"/>
      </w:pPr>
      <w:r>
        <w:t xml:space="preserve">The calculation includes comprehensive coverage of material acquisition, upstream and downstream transportation, the use phase, and end-of-life scenarios. These categories typically represent the most significant components of a product\'s value chain emissions. With these inclusions, this analysis is deemed to meet or exceed the 95% coverage requirement for Scope 3 reporting as per 2026 guidelines.</w:t>
      </w:r>
    </w:p>
    <w:bookmarkEnd w:id="44"/>
    <w:bookmarkEnd w:id="45"/>
    <w:bookmarkStart w:id="46" w:name="application-of-2026-lsr-update"/>
    <w:p>
      <w:pPr>
        <w:pStyle w:val="Heading3"/>
      </w:pPr>
      <w:r>
        <w:t xml:space="preserve">4.4. Application of 2026 LSR Update</w:t>
      </w:r>
    </w:p>
    <w:p>
      <w:pPr>
        <w:pStyle w:val="FirstParagraph"/>
      </w:pPr>
      <w:r>
        <w:t xml:space="preserve">The 2026 Land Sector and Removals (LSR) Standard is applied conceptually in this PCF to acknowledge and prepare for its requirements, especially concerning biogenic carbon and carbon removals. While the core product (Smart Home Device) does not directly engage in land-use activities, the LSR Standard informs the approach to materials like paper/cardboard packaging, ensuring future traceability of biogenic carbon and potential for removals if bio-based materials are increasingly adopted. The credit for recycling also aligns with the LSR\'s focus on carbon removals and circularity by reducing demand for virgin resources.</w:t>
      </w:r>
    </w:p>
    <w:p>
      <w:r>
        <w:pict>
          <v:rect style="width:0;height:1.5pt" o:hralign="center" o:hrstd="t" o:hr="t"/>
        </w:pict>
      </w:r>
    </w:p>
    <w:bookmarkEnd w:id="46"/>
    <w:bookmarkEnd w:id="47"/>
    <w:bookmarkStart w:id="52" w:name="review-report-total-pcf-and-hotspots"/>
    <w:p>
      <w:pPr>
        <w:pStyle w:val="Heading2"/>
      </w:pPr>
      <w:r>
        <w:t xml:space="preserve">5. Review &amp; Report: Total PCF and Hotspots</w:t>
      </w:r>
    </w:p>
    <w:bookmarkStart w:id="48" w:name="summary-of-product-carbon-footprint-pcf"/>
    <w:p>
      <w:pPr>
        <w:pStyle w:val="Heading3"/>
      </w:pPr>
      <w:r>
        <w:t xml:space="preserve">5.1. Summary of Product Carbon Footprint (PCF)</w:t>
      </w:r>
    </w:p>
    <w:p>
      <w:pPr>
        <w:pStyle w:val="FirstParagraph"/>
      </w:pPr>
      <w:r>
        <w:t xml:space="preserve">The total cradle-to-grave Product Carbon Footprint for one functional unit of Smart Home Device</w:t>
      </w:r>
      <w:r>
        <w:t xml:space="preserve"> </w:t>
      </w:r>
      <w:r>
        <w:rPr>
          <w:bCs/>
          <w:b/>
        </w:rPr>
        <w:t xml:space="preserve">nuuxnwlfnx</w:t>
      </w:r>
      <w:r>
        <w:t xml:space="preserve"> </w:t>
      </w:r>
      <w:r>
        <w:t xml:space="preserve">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2.150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0.093</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0.053</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0.084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-0.193</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14.687 kgCO2e</w:t>
            </w:r>
          </w:p>
        </w:tc>
      </w:tr>
    </w:tbl>
    <w:bookmarkEnd w:id="48"/>
    <w:bookmarkStart w:id="49" w:name="emission-hotspots"/>
    <w:p>
      <w:pPr>
        <w:pStyle w:val="Heading3"/>
      </w:pPr>
      <w:r>
        <w:t xml:space="preserve">5.2. Emission Hotspots</w:t>
      </w:r>
    </w:p>
    <w:p>
      <w:pPr>
        <w:pStyle w:val="FirstParagraph"/>
      </w:pPr>
      <w:r>
        <w:t xml:space="preserve">The analysis reveals the following key emission hotspots:</w:t>
      </w:r>
    </w:p>
    <w:p>
      <w:pPr>
        <w:numPr>
          <w:ilvl w:val="0"/>
          <w:numId w:val="1013"/>
        </w:numPr>
        <w:pStyle w:val="Compact"/>
      </w:pPr>
      <w:r>
        <w:rPr>
          <w:bCs/>
          <w:b/>
        </w:rPr>
        <w:t xml:space="preserve">Use Phase (12.500 kgCO2e):</w:t>
      </w:r>
      <w:r>
        <w:t xml:space="preserve"> </w:t>
      </w:r>
      <w:r>
        <w:t xml:space="preserve">This is overwhelmingly the largest contributor to the product\'s carbon footprint, accounting for approximately 85% of total emissions. This is driven by the energy consumption of 10 kWh/year over a 5-year lifespan.</w:t>
      </w:r>
    </w:p>
    <w:p>
      <w:pPr>
        <w:numPr>
          <w:ilvl w:val="0"/>
          <w:numId w:val="1013"/>
        </w:numPr>
        <w:pStyle w:val="Compact"/>
      </w:pPr>
      <w:r>
        <w:rPr>
          <w:bCs/>
          <w:b/>
        </w:rPr>
        <w:t xml:space="preserve">Material Acquisition &amp; Pre-processing (2.150 kgCO2e):</w:t>
      </w:r>
      <w:r>
        <w:t xml:space="preserve"> </w:t>
      </w:r>
      <w:r>
        <w:t xml:space="preserve">This stage represents the second-largest hotspot, making up about 14.6% of total emissions. Key contributors include the Lithium Battery and Plastic Casing (ABS).</w:t>
      </w:r>
    </w:p>
    <w:p>
      <w:pPr>
        <w:numPr>
          <w:ilvl w:val="0"/>
          <w:numId w:val="1013"/>
        </w:numPr>
        <w:pStyle w:val="Compact"/>
      </w:pPr>
      <w:r>
        <w:rPr>
          <w:bCs/>
          <w:b/>
        </w:rPr>
        <w:t xml:space="preserve">Manufacturing and Transportation (combined 0.230 kgCO2e):</w:t>
      </w:r>
      <w:r>
        <w:t xml:space="preserve"> </w:t>
      </w:r>
      <w:r>
        <w:t xml:space="preserve">These stages contribute a relatively small portion of the overall footprint, highlighting efficiency in these areas or the high impact of other stages.</w:t>
      </w:r>
    </w:p>
    <w:p>
      <w:pPr>
        <w:numPr>
          <w:ilvl w:val="0"/>
          <w:numId w:val="1013"/>
        </w:numPr>
        <w:pStyle w:val="Compact"/>
      </w:pPr>
      <w:r>
        <w:rPr>
          <w:bCs/>
          <w:b/>
        </w:rPr>
        <w:t xml:space="preserve">End-of-Life (-0.193 kgCO2e):</w:t>
      </w:r>
      <w:r>
        <w:t xml:space="preserve"> </w:t>
      </w:r>
      <w:r>
        <w:t xml:space="preserve">The robust recyclability and circular economy programs result in a net negative emission, indicating an avoided impact from virgin material production.</w:t>
      </w:r>
    </w:p>
    <w:bookmarkEnd w:id="49"/>
    <w:bookmarkStart w:id="50" w:name="reliability-of-data"/>
    <w:p>
      <w:pPr>
        <w:pStyle w:val="Heading3"/>
      </w:pPr>
      <w:r>
        <w:t xml:space="preserve">5.3. Reliability of Data</w:t>
      </w:r>
    </w:p>
    <w:p>
      <w:pPr>
        <w:pStyle w:val="FirstParagraph"/>
      </w:pPr>
      <w:r>
        <w:t xml:space="preserve">The reliability of this report is high, given the use of specific product parameters and the adherence to the GHG Protocol. However, certain assumptions were made due to the placeholder nature of some input parameters and the use of industry-average emission factors:</w:t>
      </w:r>
    </w:p>
    <w:p>
      <w:pPr>
        <w:numPr>
          <w:ilvl w:val="0"/>
          <w:numId w:val="1014"/>
        </w:numPr>
        <w:pStyle w:val="Compact"/>
      </w:pPr>
      <w:r>
        <w:rPr>
          <w:bCs/>
          <w:b/>
        </w:rPr>
        <w:t xml:space="preserve">Emission Factors:</w:t>
      </w:r>
      <w:r>
        <w:t xml:space="preserve"> </w:t>
      </w:r>
      <w:r>
        <w:t xml:space="preserve">While industry-standard (e.g., proxy values from Ecoinvent/DEFRA), specific primary data from suppliers could further refine material and process impacts.</w:t>
      </w:r>
    </w:p>
    <w:p>
      <w:pPr>
        <w:numPr>
          <w:ilvl w:val="0"/>
          <w:numId w:val="1014"/>
        </w:numPr>
        <w:pStyle w:val="Compact"/>
      </w:pPr>
      <w:r>
        <w:rPr>
          <w:bCs/>
          <w:b/>
        </w:rPr>
        <w:t xml:space="preserve">Transport Data:</w:t>
      </w:r>
      <w:r>
        <w:t xml:space="preserve"> </w:t>
      </w:r>
      <w:r>
        <w:t xml:space="preserve">Assumed average distances and load factors for various transport modes. Specific logistics data (e.g., actual fill rates, specific vessel routes) would enhance accuracy.</w:t>
      </w:r>
    </w:p>
    <w:p>
      <w:pPr>
        <w:numPr>
          <w:ilvl w:val="0"/>
          <w:numId w:val="1014"/>
        </w:numPr>
        <w:pStyle w:val="Compact"/>
      </w:pPr>
      <w:r>
        <w:rPr>
          <w:bCs/>
          <w:b/>
        </w:rPr>
        <w:t xml:space="preserve">Use Phase Energy Mix:</w:t>
      </w:r>
      <w:r>
        <w:t xml:space="preserve"> </w:t>
      </w:r>
      <w:r>
        <w:t xml:space="preserve">An EU average grid emission factor was used for the use phase. Actual user location electricity mix would provide more precise data.</w:t>
      </w:r>
    </w:p>
    <w:bookmarkEnd w:id="50"/>
    <w:bookmarkStart w:id="51" w:name="recommendations-for-emission-reduction"/>
    <w:p>
      <w:pPr>
        <w:pStyle w:val="Heading3"/>
      </w:pPr>
      <w:r>
        <w:t xml:space="preserve">5.4. Recommendations for Emission Reduction</w:t>
      </w:r>
    </w:p>
    <w:p>
      <w:pPr>
        <w:pStyle w:val="FirstParagraph"/>
      </w:pPr>
      <w:r>
        <w:t xml:space="preserve">Based on the identified hotspots, urinlpvexv should focus on the following strategies to reduce the carbon footprint of nuuxnwlfnx:</w:t>
      </w:r>
    </w:p>
    <w:p>
      <w:pPr>
        <w:numPr>
          <w:ilvl w:val="0"/>
          <w:numId w:val="1015"/>
        </w:numPr>
        <w:pStyle w:val="Compact"/>
      </w:pPr>
      <w:r>
        <w:rPr>
          <w:bCs/>
          <w:b/>
        </w:rPr>
        <w:t xml:space="preserve">Optimize Use Phase Efficiency:</w:t>
      </w:r>
      <w:r>
        <w:t xml:space="preserve"> </w:t>
      </w:r>
      <w:r>
        <w:t xml:space="preserve">The most impactful area for reduction. Invest in R&amp;D to significantly reduce the operational energy consumption (</w:t>
      </w:r>
      <w:r>
        <w:rPr>
          <w:rStyle w:val="VerbatimChar"/>
        </w:rPr>
        <w:t xml:space="preserve">stqjktgisv</w:t>
      </w:r>
      <w:r>
        <w:t xml:space="preserve">) of the device over its lifespan. Exploring low-power modes, smart energy management, and extending product durability can yield substantial benefits.</w:t>
      </w:r>
    </w:p>
    <w:p>
      <w:pPr>
        <w:numPr>
          <w:ilvl w:val="0"/>
          <w:numId w:val="1015"/>
        </w:numPr>
        <w:pStyle w:val="Compact"/>
      </w:pPr>
      <w:r>
        <w:rPr>
          <w:bCs/>
          <w:b/>
        </w:rPr>
        <w:t xml:space="preserve">Enhance Material Circularity and Low-Carbon Sourcing:</w:t>
      </w:r>
    </w:p>
    <w:p>
      <w:pPr>
        <w:numPr>
          <w:ilvl w:val="1"/>
          <w:numId w:val="1016"/>
        </w:numPr>
        <w:pStyle w:val="Compact"/>
      </w:pPr>
      <w:r>
        <w:t xml:space="preserve">Prioritize sourcing materials with lower embedded carbon (e.g., recycled ABS instead of virgin ABS, which can reduce emissions by over 80%).</w:t>
      </w:r>
    </w:p>
    <w:p>
      <w:pPr>
        <w:numPr>
          <w:ilvl w:val="1"/>
          <w:numId w:val="1016"/>
        </w:numPr>
        <w:pStyle w:val="Compact"/>
      </w:pPr>
      <w:r>
        <w:t xml:space="preserve">Work with suppliers to reduce the footprint of key components like Lithium Batteries and Circuit Boards.</w:t>
      </w:r>
    </w:p>
    <w:p>
      <w:pPr>
        <w:numPr>
          <w:ilvl w:val="1"/>
          <w:numId w:val="1016"/>
        </w:numPr>
        <w:pStyle w:val="Compact"/>
      </w:pPr>
      <w:r>
        <w:t xml:space="preserve">Explore bio-based or renewably sourced materials for components where feasible, aligning with LSR Standard considerations.</w:t>
      </w:r>
    </w:p>
    <w:p>
      <w:pPr>
        <w:numPr>
          <w:ilvl w:val="0"/>
          <w:numId w:val="1015"/>
        </w:numPr>
        <w:pStyle w:val="Compact"/>
      </w:pPr>
      <w:r>
        <w:rPr>
          <w:bCs/>
          <w:b/>
        </w:rPr>
        <w:t xml:space="preserve">Strengthen Renewable Energy Integration:</w:t>
      </w:r>
      <w:r>
        <w:t xml:space="preserve"> </w:t>
      </w:r>
      <w:r>
        <w:t xml:space="preserve">Continue and expand the use of renewable energy in manufacturing (</w:t>
      </w:r>
      <w:r>
        <w:rPr>
          <w:rStyle w:val="VerbatimChar"/>
        </w:rPr>
        <w:t xml:space="preserve">grgyjhtzme</w:t>
      </w:r>
      <w:r>
        <w:t xml:space="preserve">). While already at 70%, aiming for 100% renewable energy for production would eliminate Scope 2 emissions.</w:t>
      </w:r>
    </w:p>
    <w:p>
      <w:pPr>
        <w:numPr>
          <w:ilvl w:val="0"/>
          <w:numId w:val="1015"/>
        </w:numPr>
        <w:pStyle w:val="Compact"/>
      </w:pPr>
      <w:r>
        <w:rPr>
          <w:bCs/>
          <w:b/>
        </w:rPr>
        <w:t xml:space="preserve">Optimize Logistics:</w:t>
      </w:r>
      <w:r>
        <w:t xml:space="preserve"> </w:t>
      </w:r>
      <w:r>
        <w:t xml:space="preserve">While a smaller hotspot, continuous optimization of transport routes, modes (e.g., favoring rail or sea over road/air where possible), and load factors can contribute to reductions.</w:t>
      </w:r>
    </w:p>
    <w:p>
      <w:pPr>
        <w:numPr>
          <w:ilvl w:val="0"/>
          <w:numId w:val="1015"/>
        </w:numPr>
        <w:pStyle w:val="Compact"/>
      </w:pPr>
      <w:r>
        <w:rPr>
          <w:bCs/>
          <w:b/>
        </w:rPr>
        <w:t xml:space="preserve">Leverage Circular Economy Programs:</w:t>
      </w:r>
      <w:r>
        <w:t xml:space="preserve"> </w:t>
      </w:r>
      <w:r>
        <w:t xml:space="preserve">Continue to promote and expand take-back and recycling programs (</w:t>
      </w:r>
      <w:r>
        <w:rPr>
          <w:rStyle w:val="VerbatimChar"/>
        </w:rPr>
        <w:t xml:space="preserve">jdrxempdhq</w:t>
      </w:r>
      <w:r>
        <w:t xml:space="preserve">) to maximize end-of-life recovery and associated avoided emissions.</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nuuxnwlfnx</dc:title>
  <dc:creator/>
  <dc:description>Detailed Product Carbon Footprint (PCF) analysis for Smart Home Device nuuxnwlfnx, performed by Senior Sustainability Consultant kqfjgyunhq for urinlpvexv, adhering to GHG Protocol and 2026 LSR Update.</dc:description>
  <dc:language>en</dc:language>
  <cp:keywords/>
  <dcterms:created xsi:type="dcterms:W3CDTF">2026-05-30T16:51:26Z</dcterms:created>
  <dcterms:modified xsi:type="dcterms:W3CDTF">2026-05-30T16:51:26Z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