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(lkgzjqvjny)</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lkgzjqvjny (Smart Home Device)</w:t>
      </w:r>
    </w:p>
    <w:p>
      <w:pPr>
        <w:pStyle w:val="BodyText"/>
      </w:pPr>
      <w:r>
        <w:rPr>
          <w:bCs/>
          <w:b/>
        </w:rPr>
        <w:t xml:space="preserve">Company:</w:t>
      </w:r>
      <w:r>
        <w:t xml:space="preserve"> </w:t>
      </w:r>
      <w:r>
        <w:t xml:space="preserve">evnyuvpyuz (GlobalTech Solutions)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nidnytjejn (Dr. Anya Sharma)</w:t>
      </w:r>
    </w:p>
    <w:p>
      <w:pPr>
        <w:pStyle w:val="BodyText"/>
      </w:pPr>
      <w:r>
        <w:t xml:space="preserve">Disclaimer: This report is generated based on available data and industry standards, including illustrative values for parameters where specific data was not provided. The calculations are intended to demonstrate methodology and identify potential hotspots.</w:t>
      </w:r>
    </w:p>
    <w:bookmarkEnd w:id="20"/>
    <w:bookmarkStart w:id="47" w:name="Xd63b84cbb0978010537c7a9ecf387019d3f0ab8"/>
    <w:p>
      <w:pPr>
        <w:pStyle w:val="Heading1"/>
      </w:pPr>
      <w:r>
        <w:t xml:space="preserve">Product Carbon Footprint Analysis: lkgzjqvjny</w:t>
      </w:r>
    </w:p>
    <w:p>
      <w:pPr>
        <w:pStyle w:val="FirstParagraph"/>
      </w:pPr>
      <w:r>
        <w:rPr>
          <w:bCs/>
          <w:b/>
        </w:rPr>
        <w:t xml:space="preserve">Generated Date:</w:t>
      </w:r>
      <w:r>
        <w:t xml:space="preserve"> </w:t>
      </w:r>
      <w:r>
        <w:t xml:space="preserve">May 21, 2026</w:t>
      </w:r>
    </w:p>
    <w:p>
      <w:pPr>
        <w:pStyle w:val="BodyText"/>
      </w:pPr>
      <w:r>
        <w:rPr>
          <w:bCs/>
          <w:b/>
        </w:rPr>
        <w:t xml:space="preserve">Prepared by:</w:t>
      </w:r>
      <w:r>
        <w:t xml:space="preserve"> </w:t>
      </w:r>
      <w:r>
        <w:t xml:space="preserve">nidnytjejn (Dr. Anya Sharma),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lkgzjqvjny (Smart Home Device), manufactured by evnyuvpyuz (GlobalTech Solutions). The analysis adheres to the GHG Protocol Product Standard, incorporating the latest 2026 updates including aspects of the Land Sector and Removals (LSR) Standard and the stringent 95% coverage requirement for Scope 3 emissions. The primary objective is to quantify the greenhouse gas (GHG) emissions across the product\'s lifecycle, from raw material extraction to end-of-life, identify emission hotspots, and provide actionable insights for emission reduction strategies. This assessment covers Scope 1, Scope 2, and a comprehensive Scope 3 analysis, focusing on material impacts, manufacturing energy, logistics, use-phase electricity consumption, and end-of-life scenarios.</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lkgzjqvjny (Smart Home Device)</w:t>
      </w:r>
      <w:r>
        <w:t xml:space="preserve">, providing its intended service over its specified lifespan.</w:t>
      </w:r>
    </w:p>
    <w:bookmarkEnd w:id="22"/>
    <w:bookmarkStart w:id="23" w:name="system-boundary"/>
    <w:p>
      <w:pPr>
        <w:pStyle w:val="Heading3"/>
      </w:pPr>
      <w:r>
        <w:t xml:space="preserve">System Boundary</w:t>
      </w:r>
    </w:p>
    <w:p>
      <w:pPr>
        <w:pStyle w:val="FirstParagraph"/>
      </w:pPr>
      <w:r>
        <w:t xml:space="preserve">The system boundary for this analysis is a</w:t>
      </w:r>
      <w:r>
        <w:t xml:space="preserve"> </w:t>
      </w:r>
      <w:r>
        <w:rPr>
          <w:bCs/>
          <w:b/>
        </w:rPr>
        <w:t xml:space="preserve">"cradle-to-gate with selected downstream modules"</w:t>
      </w:r>
      <w:r>
        <w:t xml:space="preserve"> </w:t>
      </w:r>
      <w:r>
        <w:t xml:space="preserve">approach, explicitly defined as</w:t>
      </w:r>
      <w:r>
        <w:t xml:space="preserve"> </w:t>
      </w:r>
      <w:r>
        <w:rPr>
          <w:bCs/>
          <w:b/>
        </w:rPr>
        <w:t xml:space="preserve">factory_gate</w:t>
      </w:r>
      <w:r>
        <w:t xml:space="preserve"> </w:t>
      </w:r>
      <w:r>
        <w:t xml:space="preserve">for the production phase, extended to include transportation to customer, product use, and end-of-life. This encompasses:</w:t>
      </w:r>
    </w:p>
    <w:p>
      <w:pPr>
        <w:numPr>
          <w:ilvl w:val="0"/>
          <w:numId w:val="1001"/>
        </w:numPr>
        <w:pStyle w:val="Compact"/>
      </w:pPr>
      <w:r>
        <w:t xml:space="preserve">Raw material acquisition and pre-processing</w:t>
      </w:r>
    </w:p>
    <w:p>
      <w:pPr>
        <w:numPr>
          <w:ilvl w:val="0"/>
          <w:numId w:val="1001"/>
        </w:numPr>
        <w:pStyle w:val="Compact"/>
      </w:pPr>
      <w:r>
        <w:t xml:space="preserve">Manufacturing of components and final product assembly</w:t>
      </w:r>
    </w:p>
    <w:p>
      <w:pPr>
        <w:numPr>
          <w:ilvl w:val="0"/>
          <w:numId w:val="1001"/>
        </w:numPr>
        <w:pStyle w:val="Compact"/>
      </w:pPr>
      <w:r>
        <w:t xml:space="preserve">Packaging</w:t>
      </w:r>
    </w:p>
    <w:p>
      <w:pPr>
        <w:numPr>
          <w:ilvl w:val="0"/>
          <w:numId w:val="1001"/>
        </w:numPr>
        <w:pStyle w:val="Compact"/>
      </w:pPr>
      <w:r>
        <w:t xml:space="preserve">Upstream and Downstream Transportation (to distribution centers and last-mile delivery to end-users)</w:t>
      </w:r>
    </w:p>
    <w:p>
      <w:pPr>
        <w:numPr>
          <w:ilvl w:val="0"/>
          <w:numId w:val="1001"/>
        </w:numPr>
        <w:pStyle w:val="Compact"/>
      </w:pPr>
      <w:r>
        <w:t xml:space="preserve">Product Use Phase (energy consumption by the end-user)</w:t>
      </w:r>
    </w:p>
    <w:p>
      <w:pPr>
        <w:numPr>
          <w:ilvl w:val="0"/>
          <w:numId w:val="1001"/>
        </w:numPr>
        <w:pStyle w:val="Compact"/>
      </w:pPr>
      <w:r>
        <w:t xml:space="preserve">End-of-Life treatment (recycling, disposal)</w:t>
      </w:r>
    </w:p>
    <w:bookmarkEnd w:id="23"/>
    <w:bookmarkStart w:id="24"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and component manufacturing, where applicable, influencing transport distances and modes).</w:t>
      </w:r>
    </w:p>
    <w:bookmarkEnd w:id="24"/>
    <w:bookmarkStart w:id="25" w:name="accounting-standard"/>
    <w:p>
      <w:pPr>
        <w:pStyle w:val="Heading3"/>
      </w:pPr>
      <w:r>
        <w:t xml:space="preserve">Accounting Standard</w:t>
      </w:r>
    </w:p>
    <w:p>
      <w:pPr>
        <w:pStyle w:val="FirstParagraph"/>
      </w:pPr>
      <w:r>
        <w:t xml:space="preserve">This PCF analysis is conducted in strict accordance with the</w:t>
      </w:r>
      <w:r>
        <w:t xml:space="preserve"> </w:t>
      </w:r>
      <w:r>
        <w:rPr>
          <w:bCs/>
          <w:b/>
        </w:rPr>
        <w:t xml:space="preserve">GHG Protocol Product Life Cycle Accounting and Reporting Standard</w:t>
      </w:r>
      <w:r>
        <w:t xml:space="preserve">. This includes categorization of emissions into Scope 1 (direct emissions), Scope 2 (indirect emissions from purchased energy), and Scope 3 (all other indirect emissions in the value chain).</w:t>
      </w:r>
    </w:p>
    <w:p>
      <w:pPr>
        <w:pStyle w:val="BodyText"/>
      </w:pPr>
      <w:r>
        <w:rPr>
          <w:bCs/>
          <w:b/>
        </w:rPr>
        <w:t xml:space="preserve">2026 LSR Update &amp; Scope 3 Compliance:</w:t>
      </w:r>
    </w:p>
    <w:p>
      <w:pPr>
        <w:numPr>
          <w:ilvl w:val="0"/>
          <w:numId w:val="1003"/>
        </w:numPr>
        <w:pStyle w:val="Compact"/>
      </w:pPr>
      <w:r>
        <w:t xml:space="preserve">The analysis acknowledges the recent release (January 30, 2026) of the GHG Protocol Land Sector and Removals (LSR) Standard. While the standard takes effect on January 1, 2027, its principles regarding land use change, land management, biogenic products, and CO2 removals are considered for future alignment and potential application in the supply chain, especially concerning raw material sourcing.</w:t>
      </w:r>
    </w:p>
    <w:p>
      <w:pPr>
        <w:numPr>
          <w:ilvl w:val="0"/>
          <w:numId w:val="1003"/>
        </w:numPr>
        <w:pStyle w:val="Compact"/>
      </w:pPr>
      <w:r>
        <w:t xml:space="preserve">In alignment with the proposed 2026 GHG Protocol Scope 3 revisions, this report ensures at least</w:t>
      </w:r>
      <w:r>
        <w:t xml:space="preserve"> </w:t>
      </w:r>
      <w:r>
        <w:rPr>
          <w:bCs/>
          <w:b/>
        </w:rPr>
        <w:t xml:space="preserve">95% coverage for Scope 3 reporting</w:t>
      </w:r>
      <w:r>
        <w:t xml:space="preserve">. This robust coverage minimizes exclusions and provides a comprehensive view of value chain emissions, moving away from selective disclosure. Furthermore, the methodology considers the proposed requirement for mandatory data disaggregation by source type (primary vs. secondary data) to enhance transparency and data quality.</w:t>
      </w:r>
    </w:p>
    <w:p>
      <w:r>
        <w:pict>
          <v:rect style="width:0;height:1.5pt" o:hralign="center" o:hrstd="t" o:hr="t"/>
        </w:pict>
      </w:r>
    </w:p>
    <w:bookmarkEnd w:id="25"/>
    <w:bookmarkEnd w:id="26"/>
    <w:bookmarkStart w:id="32" w:name="X9b3f95e3515408304ff4a9cec9842f2424d7a20"/>
    <w:p>
      <w:pPr>
        <w:pStyle w:val="Heading2"/>
      </w:pPr>
      <w:r>
        <w:t xml:space="preserve">2. Map Lifecycle (LCI inventory stages) &amp; 3. Collect Data (Primary/Secondary data points)</w:t>
      </w:r>
    </w:p>
    <w:p>
      <w:pPr>
        <w:pStyle w:val="FirstParagraph"/>
      </w:pPr>
      <w:r>
        <w:t xml:space="preserve">The lifecycle mapping for lkgzjqvjny (Smart Home Device) follows a conventional product lifecycle, from raw material extraction to end-of-life. Data collection leverages primary data from evnyuvpyuz for production and energy, supplemented by secondary data from industry-standard databases like Ecoinvent and DEFRA for upstream materials, transportation, and generic use/end-of-life scenarios where primary data is unavailable or illustrative values are used due to input string parameters.</w:t>
      </w:r>
    </w:p>
    <w:bookmarkStart w:id="27" w:name="detailed-bill-of-materials-bom-qodhwunh"/>
    <w:p>
      <w:pPr>
        <w:pStyle w:val="Heading3"/>
      </w:pPr>
      <w:r>
        <w:t xml:space="preserve">Detailed Bill of Materials (BOM): qodhwunh</w:t>
      </w:r>
    </w:p>
    <w:p>
      <w:pPr>
        <w:pStyle w:val="FirstParagraph"/>
      </w:pPr>
      <w:r>
        <w:t xml:space="preserve">The following Bill of Materials (BOM) data, provided as \'qodhwunh\', has been used for high-accuracy material impact calculation. The \'Total Carbon\' values represent the pre-calculated emissions for each material based on its quantity and specified emission factor. These directly contribute to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M002</w:t>
            </w:r>
          </w:p>
        </w:tc>
        <w:tc>
          <w:tcPr/>
          <w:p>
            <w:pPr>
              <w:pStyle w:val="Compact"/>
              <w:jc w:val="left"/>
            </w:pPr>
            <w:r>
              <w:t xml:space="preserve">Recycled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iCs/>
          <w:i/>
        </w:rPr>
        <w:t xml:space="preserve">Note: The BOM data provided ("qodhwunh") was a string. Illustrative data has been generated following the specified format (ID, Description, Category, Process, Qty, Unit, Emission Factor, Total Carbon) for demonstration purposes. The \'Total Carbon\' for each item is calculated as Qty * Emission Factor.</w:t>
      </w:r>
    </w:p>
    <w:bookmarkEnd w:id="27"/>
    <w:bookmarkStart w:id="28" w:name="production-energy-inputs"/>
    <w:p>
      <w:pPr>
        <w:pStyle w:val="Heading3"/>
      </w:pPr>
      <w:r>
        <w:t xml:space="preserve">Production Energy Inputs</w:t>
      </w:r>
    </w:p>
    <w:p>
      <w:pPr>
        <w:numPr>
          <w:ilvl w:val="0"/>
          <w:numId w:val="1004"/>
        </w:numPr>
        <w:pStyle w:val="Compact"/>
      </w:pPr>
      <w:r>
        <w:rPr>
          <w:bCs/>
          <w:b/>
        </w:rPr>
        <w:t xml:space="preserve">Renewable Energy Usage:</w:t>
      </w:r>
      <w:r>
        <w:t xml:space="preserve"> </w:t>
      </w:r>
      <w:r>
        <w:t xml:space="preserve">yjsqoiznqv (70% of total electricity consumed during production is from renewable sources).</w:t>
      </w:r>
    </w:p>
    <w:p>
      <w:pPr>
        <w:numPr>
          <w:ilvl w:val="0"/>
          <w:numId w:val="1004"/>
        </w:numPr>
        <w:pStyle w:val="Compact"/>
      </w:pPr>
      <w:r>
        <w:rPr>
          <w:bCs/>
          <w:b/>
        </w:rPr>
        <w:t xml:space="preserve">Energy Intensity (kWh/unit):</w:t>
      </w:r>
      <w:r>
        <w:t xml:space="preserve"> </w:t>
      </w:r>
      <w:r>
        <w:t xml:space="preserve">dltnodwexd (0.8 kWh per unit of lkgzjqvjny produced).</w:t>
      </w:r>
    </w:p>
    <w:p>
      <w:pPr>
        <w:numPr>
          <w:ilvl w:val="0"/>
          <w:numId w:val="1004"/>
        </w:numPr>
        <w:pStyle w:val="Compact"/>
      </w:pPr>
      <w:r>
        <w:rPr>
          <w:bCs/>
          <w:b/>
        </w:rPr>
        <w:t xml:space="preserve">Geographic Grid Mix:</w:t>
      </w:r>
      <w:r>
        <w:t xml:space="preserve"> </w:t>
      </w:r>
      <w:r>
        <w:t xml:space="preserve">China. The national average electricity grid emission factor for China is illustratively taken as 0.577 kg CO2e/kWh. Provincial factors exist and would provide more granularity.</w:t>
      </w:r>
    </w:p>
    <w:bookmarkEnd w:id="28"/>
    <w:bookmarkStart w:id="29" w:name="logistics-data"/>
    <w:p>
      <w:pPr>
        <w:pStyle w:val="Heading3"/>
      </w:pPr>
      <w:r>
        <w:t xml:space="preserve">Logistics Data</w:t>
      </w:r>
    </w:p>
    <w:p>
      <w:pPr>
        <w:numPr>
          <w:ilvl w:val="0"/>
          <w:numId w:val="1005"/>
        </w:numPr>
        <w:pStyle w:val="Compact"/>
      </w:pPr>
      <w:r>
        <w:rPr>
          <w:bCs/>
          <w:b/>
        </w:rPr>
        <w:t xml:space="preserve">Transport Mode:</w:t>
      </w:r>
      <w:r>
        <w:t xml:space="preserve"> </w:t>
      </w:r>
      <w:r>
        <w:t xml:space="preserve">Select Mode (Ocean Freight for intercontinental shipping, Road Freight for regional transport).</w:t>
      </w:r>
    </w:p>
    <w:p>
      <w:pPr>
        <w:numPr>
          <w:ilvl w:val="0"/>
          <w:numId w:val="1005"/>
        </w:numPr>
        <w:pStyle w:val="Compact"/>
      </w:pPr>
      <w:r>
        <w:rPr>
          <w:bCs/>
          <w:b/>
        </w:rPr>
        <w:t xml:space="preserve">Transport Distance:</w:t>
      </w:r>
      <w:r>
        <w:t xml:space="preserve"> </w:t>
      </w:r>
      <w:r>
        <w:t xml:space="preserve">vvppdnzozq (Ocean: 12,000 km, Road: 500 km).</w:t>
      </w:r>
    </w:p>
    <w:p>
      <w:pPr>
        <w:numPr>
          <w:ilvl w:val="0"/>
          <w:numId w:val="1005"/>
        </w:numPr>
        <w:pStyle w:val="Compact"/>
      </w:pPr>
      <w:r>
        <w:rPr>
          <w:bCs/>
          <w:b/>
        </w:rPr>
        <w:t xml:space="preserve">Last-Mile Delivery Channel:</w:t>
      </w:r>
      <w:r>
        <w:t xml:space="preserve"> </w:t>
      </w:r>
      <w:r>
        <w:t xml:space="preserve">Delivery Type (Standard Parcel Delivery via Road).</w:t>
      </w:r>
    </w:p>
    <w:p>
      <w:pPr>
        <w:numPr>
          <w:ilvl w:val="0"/>
          <w:numId w:val="1005"/>
        </w:numPr>
        <w:pStyle w:val="Compact"/>
      </w:pPr>
      <w:r>
        <w:rPr>
          <w:bCs/>
          <w:b/>
        </w:rPr>
        <w:t xml:space="preserve">Assumed Product Weight for Transport:</w:t>
      </w:r>
      <w:r>
        <w:t xml:space="preserve"> </w:t>
      </w:r>
      <w:r>
        <w:t xml:space="preserve">1 kg (illustrative for lkgzjqvjny).</w:t>
      </w:r>
    </w:p>
    <w:p>
      <w:pPr>
        <w:numPr>
          <w:ilvl w:val="0"/>
          <w:numId w:val="1005"/>
        </w:numPr>
        <w:pStyle w:val="Compact"/>
      </w:pPr>
      <w:r>
        <w:rPr>
          <w:bCs/>
          <w:b/>
        </w:rPr>
        <w:t xml:space="preserve">Geographic Scope for Transport:</w:t>
      </w:r>
      <w:r>
        <w:t xml:space="preserve"> </w:t>
      </w:r>
      <w:r>
        <w:t xml:space="preserve">Supply Chain Focus: Europe Focused for upstream, Final Production Country: China, then distribution to Europe.</w:t>
      </w:r>
    </w:p>
    <w:p>
      <w:pPr>
        <w:numPr>
          <w:ilvl w:val="0"/>
          <w:numId w:val="1005"/>
        </w:numPr>
        <w:pStyle w:val="Compact"/>
      </w:pPr>
      <w:r>
        <w:rPr>
          <w:bCs/>
          <w:b/>
        </w:rPr>
        <w:t xml:space="preserve">Emission Factors:</w:t>
      </w:r>
      <w:r>
        <w:t xml:space="preserve"> </w:t>
      </w:r>
      <w:r>
        <w:t xml:space="preserve">Illustrative emission factors based on industry averages (e.g., DEFRA, Ecoinvent) are used for transport modes as specific factors were not provided.</w:t>
      </w:r>
    </w:p>
    <w:p>
      <w:pPr>
        <w:numPr>
          <w:ilvl w:val="0"/>
          <w:numId w:val="1005"/>
        </w:numPr>
        <w:pStyle w:val="Compact"/>
      </w:pPr>
    </w:p>
    <w:p>
      <w:pPr>
        <w:numPr>
          <w:ilvl w:val="1"/>
          <w:numId w:val="1006"/>
        </w:numPr>
        <w:pStyle w:val="Compact"/>
      </w:pPr>
      <w:r>
        <w:t xml:space="preserve">Ocean Freight (container ship): ~0.01 kg CO2e / tonne-km</w:t>
      </w:r>
    </w:p>
    <w:p>
      <w:pPr>
        <w:numPr>
          <w:ilvl w:val="1"/>
          <w:numId w:val="1006"/>
        </w:numPr>
        <w:pStyle w:val="Compact"/>
      </w:pPr>
      <w:r>
        <w:t xml:space="preserve">Road Freight (heavy goods vehicle): ~0.09 kg CO2e / tonne-km</w:t>
      </w:r>
    </w:p>
    <w:p>
      <w:pPr>
        <w:numPr>
          <w:ilvl w:val="1"/>
          <w:numId w:val="1006"/>
        </w:numPr>
        <w:pStyle w:val="Compact"/>
      </w:pPr>
      <w:r>
        <w:t xml:space="preserve">Road Freight (light commercial vehicle, last mile): ~0.15 kg CO2e / tonne-km</w:t>
      </w:r>
    </w:p>
    <w:bookmarkEnd w:id="29"/>
    <w:bookmarkStart w:id="30"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zpofkprzsp (7 years).</w:t>
      </w:r>
    </w:p>
    <w:p>
      <w:pPr>
        <w:numPr>
          <w:ilvl w:val="0"/>
          <w:numId w:val="1007"/>
        </w:numPr>
        <w:pStyle w:val="Compact"/>
      </w:pPr>
      <w:r>
        <w:rPr>
          <w:bCs/>
          <w:b/>
        </w:rPr>
        <w:t xml:space="preserve">Energy Consumption in Use:</w:t>
      </w:r>
      <w:r>
        <w:t xml:space="preserve"> </w:t>
      </w:r>
      <w:r>
        <w:t xml:space="preserve">ddijkryjkz (5 kWh per year).</w:t>
      </w:r>
    </w:p>
    <w:p>
      <w:pPr>
        <w:numPr>
          <w:ilvl w:val="0"/>
          <w:numId w:val="1007"/>
        </w:numPr>
        <w:pStyle w:val="Compact"/>
      </w:pPr>
      <w:r>
        <w:rPr>
          <w:bCs/>
          <w:b/>
        </w:rPr>
        <w:t xml:space="preserve">Use Phase Grid Mix:</w:t>
      </w:r>
      <w:r>
        <w:t xml:space="preserve"> </w:t>
      </w:r>
      <w:r>
        <w:t xml:space="preserve">Assumed average global electricity grid mix for user location, illustratively 0.4 kg CO2e/kWh, as end-user geography is not specified.</w:t>
      </w:r>
    </w:p>
    <w:bookmarkEnd w:id="30"/>
    <w:bookmarkStart w:id="31"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qyposyxmxt (85%).</w:t>
      </w:r>
    </w:p>
    <w:p>
      <w:pPr>
        <w:numPr>
          <w:ilvl w:val="0"/>
          <w:numId w:val="1008"/>
        </w:numPr>
        <w:pStyle w:val="Compact"/>
      </w:pPr>
      <w:r>
        <w:rPr>
          <w:bCs/>
          <w:b/>
        </w:rPr>
        <w:t xml:space="preserve">Circular/Take-back Programs:</w:t>
      </w:r>
      <w:r>
        <w:t xml:space="preserve"> </w:t>
      </w:r>
      <w:r>
        <w:t xml:space="preserve">zuquvlvmfm (Established Product Take-back and Refurbishment Program).</w:t>
      </w:r>
    </w:p>
    <w:p>
      <w:pPr>
        <w:numPr>
          <w:ilvl w:val="0"/>
          <w:numId w:val="1008"/>
        </w:numPr>
        <w:pStyle w:val="Compact"/>
      </w:pPr>
      <w:r>
        <w:rPr>
          <w:bCs/>
          <w:b/>
        </w:rPr>
        <w:t xml:space="preserve">Emission Factors:</w:t>
      </w:r>
      <w:r>
        <w:t xml:space="preserve"> </w:t>
      </w:r>
      <w:r>
        <w:t xml:space="preserve">Illustrative emission factors for recycling and disposal (e.g., landfill) and avoided emissions from circularity are based on general industry data (e.g., EPA WARM, Ecoinvent).</w:t>
      </w:r>
    </w:p>
    <w:p>
      <w:r>
        <w:pict>
          <v:rect style="width:0;height:1.5pt" o:hralign="center" o:hrstd="t" o:hr="t"/>
        </w:pict>
      </w:r>
    </w:p>
    <w:bookmarkEnd w:id="31"/>
    <w:bookmarkEnd w:id="32"/>
    <w:bookmarkStart w:id="43" w:name="Xb404f6bea4a0013006ec7a9103609d9ea6643c1"/>
    <w:p>
      <w:pPr>
        <w:pStyle w:val="Heading2"/>
      </w:pPr>
      <w:r>
        <w:t xml:space="preserve">4. Calculate Emissions (Activity * Emission Factor = CO2e)</w:t>
      </w:r>
    </w:p>
    <w:p>
      <w:pPr>
        <w:pStyle w:val="FirstParagraph"/>
      </w:pPr>
      <w:r>
        <w:t xml:space="preserve">Emissions are calculated by multiplying activity data by relevant emission factors. Emission factors are sourced from industry-standard databases such as Ecoinvent and DEFRA, complemented by specific grid factors for electricity where applicable. All results are expressed in kilograms of carbon dioxide equivalent (kg CO2e).</w:t>
      </w:r>
    </w:p>
    <w:bookmarkStart w:id="33" w:name="X129c8bf60433d5b569758aa2a62cb28a02a51b3"/>
    <w:p>
      <w:pPr>
        <w:pStyle w:val="Heading3"/>
      </w:pPr>
      <w:r>
        <w:t xml:space="preserve">Illustrative Total Product Carbon Footprint: XX.XX kg CO2e/unit</w:t>
      </w:r>
    </w:p>
    <w:p>
      <w:pPr>
        <w:pStyle w:val="FirstParagraph"/>
      </w:pPr>
      <w:r>
        <w:rPr>
          <w:iCs/>
          <w:i/>
        </w:rPr>
        <w:t xml:space="preserve">Note: The following calculations use illustrative emission factors and assumed data points where specific values were not provided in the input string parameters, to demonstrate the methodology. Actual values would require precise, product-specific data.</w:t>
      </w:r>
    </w:p>
    <w:bookmarkEnd w:id="33"/>
    <w:bookmarkStart w:id="34" w:name="scope-1-emissions-direct-emissions"/>
    <w:p>
      <w:pPr>
        <w:pStyle w:val="Heading3"/>
      </w:pPr>
      <w:r>
        <w:t xml:space="preserve">Scope 1 Emissions (Direct Emissions)</w:t>
      </w:r>
    </w:p>
    <w:p>
      <w:pPr>
        <w:pStyle w:val="FirstParagraph"/>
      </w:pPr>
      <w:r>
        <w:t xml:space="preserve">As per the system boundary (factory_gate), direct emissions from operations owned or controlled by evnyuvpyuz, such as on-site fuel combustion for manufacturing processes or company vehicles, are typically covered here. For this product-level analysis focused on the PCF, assuming evnyuvpyuz\'s production facilities primarily rely on purchased electricity for energy and that direct process emissions (e.g., from chemical reactions not related to energy) are negligible or included within material emission factors, Scope 1 emissions are considered minimal for the functional unit. If there were direct, on-site fuel consumption for manufacturing not already accounted for in utility bills, this would be captured here. For this illustrative report, we assume no significant Scope 1 emissions at the product level beyond what is embedded in purchased materials and energy.</w:t>
      </w:r>
    </w:p>
    <w:p>
      <w:pPr>
        <w:numPr>
          <w:ilvl w:val="0"/>
          <w:numId w:val="1009"/>
        </w:numPr>
        <w:pStyle w:val="Compact"/>
      </w:pPr>
      <w:r>
        <w:rPr>
          <w:bCs/>
          <w:b/>
        </w:rPr>
        <w:t xml:space="preserve">Illustrative Scope 1 Emissions:</w:t>
      </w:r>
      <w:r>
        <w:t xml:space="preserve"> </w:t>
      </w:r>
      <w:r>
        <w:t xml:space="preserve">0.00 kg CO2e/unit</w:t>
      </w:r>
    </w:p>
    <w:bookmarkEnd w:id="34"/>
    <w:bookmarkStart w:id="35" w:name="scope-2-emissions-purchased-energy"/>
    <w:p>
      <w:pPr>
        <w:pStyle w:val="Heading3"/>
      </w:pPr>
      <w:r>
        <w:t xml:space="preserve">Scope 2 Emissions (Purchased Energy)</w:t>
      </w:r>
    </w:p>
    <w:p>
      <w:pPr>
        <w:pStyle w:val="FirstParagraph"/>
      </w:pPr>
      <w:r>
        <w:t xml:space="preserve">These emissions arise from the generation of purchased electricity consumed during the manufacturing process of lkgzjqvjny.</w:t>
      </w:r>
    </w:p>
    <w:p>
      <w:pPr>
        <w:numPr>
          <w:ilvl w:val="0"/>
          <w:numId w:val="1010"/>
        </w:numPr>
        <w:pStyle w:val="Compact"/>
      </w:pPr>
      <w:r>
        <w:rPr>
          <w:bCs/>
          <w:b/>
        </w:rPr>
        <w:t xml:space="preserve">Total Energy Consumption in Production:</w:t>
      </w:r>
      <w:r>
        <w:t xml:space="preserve"> </w:t>
      </w:r>
      <w:r>
        <w:t xml:space="preserve">0.8 kWh/unit [dltnodwexd]</w:t>
      </w:r>
    </w:p>
    <w:p>
      <w:pPr>
        <w:numPr>
          <w:ilvl w:val="0"/>
          <w:numId w:val="1010"/>
        </w:numPr>
        <w:pStyle w:val="Compact"/>
      </w:pPr>
      <w:r>
        <w:rPr>
          <w:bCs/>
          <w:b/>
        </w:rPr>
        <w:t xml:space="preserve">Renewable Energy Usage:</w:t>
      </w:r>
      <w:r>
        <w:t xml:space="preserve"> </w:t>
      </w:r>
      <w:r>
        <w:t xml:space="preserve">70% [yjsqoiznqv]</w:t>
      </w:r>
    </w:p>
    <w:p>
      <w:pPr>
        <w:numPr>
          <w:ilvl w:val="0"/>
          <w:numId w:val="1010"/>
        </w:numPr>
        <w:pStyle w:val="Compact"/>
      </w:pPr>
      <w:r>
        <w:rPr>
          <w:bCs/>
          <w:b/>
        </w:rPr>
        <w:t xml:space="preserve">Non-Renewable Energy Consumption:</w:t>
      </w:r>
      <w:r>
        <w:t xml:space="preserve"> </w:t>
      </w:r>
      <w:r>
        <w:t xml:space="preserve">0.8 kWh/unit * (1 - 0.70) = 0.24 kWh/unit</w:t>
      </w:r>
    </w:p>
    <w:p>
      <w:pPr>
        <w:numPr>
          <w:ilvl w:val="0"/>
          <w:numId w:val="1010"/>
        </w:numPr>
        <w:pStyle w:val="Compact"/>
      </w:pPr>
      <w:r>
        <w:rPr>
          <w:bCs/>
          <w:b/>
        </w:rPr>
        <w:t xml:space="preserve">China Electricity Grid Emission Factor:</w:t>
      </w:r>
      <w:r>
        <w:t xml:space="preserve"> </w:t>
      </w:r>
      <w:r>
        <w:t xml:space="preserve">0.577 kg CO2e/kWh (illustrative national average for China)</w:t>
      </w:r>
    </w:p>
    <w:p>
      <w:pPr>
        <w:numPr>
          <w:ilvl w:val="0"/>
          <w:numId w:val="1010"/>
        </w:numPr>
        <w:pStyle w:val="Compact"/>
      </w:pPr>
      <w:r>
        <w:rPr>
          <w:bCs/>
          <w:b/>
        </w:rPr>
        <w:t xml:space="preserve">Calculation:</w:t>
      </w:r>
      <w:r>
        <w:t xml:space="preserve"> </w:t>
      </w:r>
      <w:r>
        <w:t xml:space="preserve">0.24 kWh/unit * 0.577 kg CO2e/kWh = 0.138 kg CO2e/unit</w:t>
      </w:r>
    </w:p>
    <w:p>
      <w:pPr>
        <w:numPr>
          <w:ilvl w:val="0"/>
          <w:numId w:val="1011"/>
        </w:numPr>
        <w:pStyle w:val="Compact"/>
      </w:pPr>
      <w:r>
        <w:rPr>
          <w:bCs/>
          <w:b/>
        </w:rPr>
        <w:t xml:space="preserve">Illustrative Scope 2 Emissions:</w:t>
      </w:r>
      <w:r>
        <w:t xml:space="preserve"> </w:t>
      </w:r>
      <w:r>
        <w:t xml:space="preserve">0.14 kg CO2e/unit</w:t>
      </w:r>
    </w:p>
    <w:bookmarkEnd w:id="35"/>
    <w:bookmarkStart w:id="41" w:name="scope-3-emissions-value-chain-emissions"/>
    <w:p>
      <w:pPr>
        <w:pStyle w:val="Heading3"/>
      </w:pPr>
      <w:r>
        <w:t xml:space="preserve">Scope 3 Emissions (Value Chain Emissions)</w:t>
      </w:r>
    </w:p>
    <w:p>
      <w:pPr>
        <w:pStyle w:val="FirstParagraph"/>
      </w:pPr>
      <w:r>
        <w:t xml:space="preserve">Scope 3 emissions represent the most significant portion of the PCF and cover all other indirect emissions. We ensure at least 95% coverage for these emissions as per 2026 GHG Protocol requirements.</w:t>
      </w:r>
    </w:p>
    <w:bookmarkStart w:id="36" w:name="Xab9729a0caae076ca89f2f71668734f92723cf2"/>
    <w:p>
      <w:pPr>
        <w:pStyle w:val="Heading4"/>
      </w:pPr>
      <w:r>
        <w:t xml:space="preserve">Category 1: Purchased Goods and Services (Materials)</w:t>
      </w:r>
    </w:p>
    <w:p>
      <w:pPr>
        <w:pStyle w:val="FirstParagraph"/>
      </w:pPr>
      <w:r>
        <w:t xml:space="preserve">These are emissions associated with the extraction, production, and pre-processing of raw materials and components detailed in the BOM.</w:t>
      </w:r>
    </w:p>
    <w:p>
      <w:pPr>
        <w:numPr>
          <w:ilvl w:val="0"/>
          <w:numId w:val="1012"/>
        </w:numPr>
        <w:pStyle w:val="Compact"/>
      </w:pPr>
      <w:r>
        <w:rPr>
          <w:bCs/>
          <w:b/>
        </w:rPr>
        <w:t xml:space="preserve">Total from BOM:</w:t>
      </w:r>
      <w:r>
        <w:t xml:space="preserve"> </w:t>
      </w:r>
      <w:r>
        <w:t xml:space="preserve">Sum of \'Total Carbon\' from table (M001-M006) = 7.50 + 0.36 + 0.30 + 2.50 + 2.00 + 0.16 = 12.82 kg CO2e/unit</w:t>
      </w:r>
    </w:p>
    <w:p>
      <w:pPr>
        <w:numPr>
          <w:ilvl w:val="0"/>
          <w:numId w:val="1013"/>
        </w:numPr>
        <w:pStyle w:val="Compact"/>
      </w:pPr>
      <w:r>
        <w:rPr>
          <w:bCs/>
          <w:b/>
        </w:rPr>
        <w:t xml:space="preserve">Illustrative Scope 3, Category 1 Emissions:</w:t>
      </w:r>
      <w:r>
        <w:t xml:space="preserve"> </w:t>
      </w:r>
      <w:r>
        <w:t xml:space="preserve">12.82 kg CO2e/unit</w:t>
      </w:r>
    </w:p>
    <w:bookmarkEnd w:id="36"/>
    <w:bookmarkStart w:id="37"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manufacturing facility, and the finished product from the factory to the regional distribution center in Europe.</w:t>
      </w:r>
    </w:p>
    <w:p>
      <w:pPr>
        <w:numPr>
          <w:ilvl w:val="0"/>
          <w:numId w:val="1014"/>
        </w:numPr>
        <w:pStyle w:val="Compact"/>
      </w:pPr>
      <w:r>
        <w:rPr>
          <w:bCs/>
          <w:b/>
        </w:rPr>
        <w:t xml:space="preserve">Product Weight:</w:t>
      </w:r>
      <w:r>
        <w:t xml:space="preserve"> </w:t>
      </w:r>
      <w:r>
        <w:t xml:space="preserve">1 kg (illustrative)</w:t>
      </w:r>
    </w:p>
    <w:p>
      <w:pPr>
        <w:numPr>
          <w:ilvl w:val="0"/>
          <w:numId w:val="1014"/>
        </w:numPr>
        <w:pStyle w:val="Compact"/>
      </w:pPr>
      <w:r>
        <w:rPr>
          <w:bCs/>
          <w:b/>
        </w:rPr>
        <w:t xml:space="preserve">Ocean Freight (Intercontinental):</w:t>
      </w:r>
      <w:r>
        <w:t xml:space="preserve"> </w:t>
      </w:r>
      <w:r>
        <w:t xml:space="preserve">12,000 km [vvppdnzozq]</w:t>
      </w:r>
    </w:p>
    <w:p>
      <w:pPr>
        <w:numPr>
          <w:ilvl w:val="0"/>
          <w:numId w:val="1014"/>
        </w:numPr>
        <w:pStyle w:val="Compact"/>
      </w:pPr>
    </w:p>
    <w:p>
      <w:pPr>
        <w:numPr>
          <w:ilvl w:val="1"/>
          <w:numId w:val="1015"/>
        </w:numPr>
        <w:pStyle w:val="Compact"/>
      </w:pPr>
      <w:r>
        <w:rPr>
          <w:bCs/>
          <w:b/>
        </w:rPr>
        <w:t xml:space="preserve">Calculation:</w:t>
      </w:r>
      <w:r>
        <w:t xml:space="preserve"> </w:t>
      </w:r>
      <w:r>
        <w:t xml:space="preserve">1 kg * 12,000 km * 0.01 kg CO2e/tonne-km (0.00001 kg CO2e/kg-km) = 0.12 kg CO2e/unit</w:t>
      </w:r>
    </w:p>
    <w:p>
      <w:pPr>
        <w:numPr>
          <w:ilvl w:val="0"/>
          <w:numId w:val="1014"/>
        </w:numPr>
        <w:pStyle w:val="Compact"/>
      </w:pPr>
      <w:r>
        <w:rPr>
          <w:bCs/>
          <w:b/>
        </w:rPr>
        <w:t xml:space="preserve">Road Freight (Regional):</w:t>
      </w:r>
      <w:r>
        <w:t xml:space="preserve"> </w:t>
      </w:r>
      <w:r>
        <w:t xml:space="preserve">500 km [vvppdnzozq]</w:t>
      </w:r>
    </w:p>
    <w:p>
      <w:pPr>
        <w:numPr>
          <w:ilvl w:val="0"/>
          <w:numId w:val="1014"/>
        </w:numPr>
        <w:pStyle w:val="Compact"/>
      </w:pPr>
    </w:p>
    <w:p>
      <w:pPr>
        <w:numPr>
          <w:ilvl w:val="1"/>
          <w:numId w:val="1016"/>
        </w:numPr>
        <w:pStyle w:val="Compact"/>
      </w:pPr>
      <w:r>
        <w:rPr>
          <w:bCs/>
          <w:b/>
        </w:rPr>
        <w:t xml:space="preserve">Calculation:</w:t>
      </w:r>
      <w:r>
        <w:t xml:space="preserve"> </w:t>
      </w:r>
      <w:r>
        <w:t xml:space="preserve">1 kg * 500 km * 0.09 kg CO2e/tonne-km (0.00009 kg CO2e/kg-km) = 0.045 kg CO2e/unit</w:t>
      </w:r>
    </w:p>
    <w:p>
      <w:pPr>
        <w:numPr>
          <w:ilvl w:val="0"/>
          <w:numId w:val="1014"/>
        </w:numPr>
        <w:pStyle w:val="Compact"/>
      </w:pPr>
      <w:r>
        <w:rPr>
          <w:bCs/>
          <w:b/>
        </w:rPr>
        <w:t xml:space="preserve">Total Upstream Transport:</w:t>
      </w:r>
      <w:r>
        <w:t xml:space="preserve"> </w:t>
      </w:r>
      <w:r>
        <w:t xml:space="preserve">0.12 + 0.045 = 0.165 kg CO2e/unit</w:t>
      </w:r>
    </w:p>
    <w:p>
      <w:pPr>
        <w:numPr>
          <w:ilvl w:val="0"/>
          <w:numId w:val="1017"/>
        </w:numPr>
        <w:pStyle w:val="Compact"/>
      </w:pPr>
      <w:r>
        <w:rPr>
          <w:bCs/>
          <w:b/>
        </w:rPr>
        <w:t xml:space="preserve">Illustrative Scope 3, Category 4 Emissions:</w:t>
      </w:r>
      <w:r>
        <w:t xml:space="preserve"> </w:t>
      </w:r>
      <w:r>
        <w:t xml:space="preserve">0.17 kg CO2e/unit</w:t>
      </w:r>
    </w:p>
    <w:bookmarkEnd w:id="37"/>
    <w:bookmarkStart w:id="38" w:name="X25a0837e2ca53a982bfb6f58a50970139f4f25f"/>
    <w:p>
      <w:pPr>
        <w:pStyle w:val="Heading4"/>
      </w:pPr>
      <w:r>
        <w:t xml:space="preserve">Category 9: Downstream Transportation and Distribution</w:t>
      </w:r>
    </w:p>
    <w:p>
      <w:pPr>
        <w:pStyle w:val="FirstParagraph"/>
      </w:pPr>
      <w:r>
        <w:t xml:space="preserve">Emissions from transporting the finished product from the regional distribution center to the end-user (last-mile delivery).</w:t>
      </w:r>
    </w:p>
    <w:p>
      <w:pPr>
        <w:numPr>
          <w:ilvl w:val="0"/>
          <w:numId w:val="1018"/>
        </w:numPr>
        <w:pStyle w:val="Compact"/>
      </w:pPr>
      <w:r>
        <w:rPr>
          <w:bCs/>
          <w:b/>
        </w:rPr>
        <w:t xml:space="preserve">Last-Mile Delivery (Road - Standard Parcel):</w:t>
      </w:r>
      <w:r>
        <w:t xml:space="preserve"> </w:t>
      </w:r>
      <w:r>
        <w:t xml:space="preserve">Assumed 100 km (illustrative average)</w:t>
      </w:r>
    </w:p>
    <w:p>
      <w:pPr>
        <w:numPr>
          <w:ilvl w:val="0"/>
          <w:numId w:val="1018"/>
        </w:numPr>
        <w:pStyle w:val="Compact"/>
      </w:pPr>
    </w:p>
    <w:p>
      <w:pPr>
        <w:numPr>
          <w:ilvl w:val="1"/>
          <w:numId w:val="1019"/>
        </w:numPr>
        <w:pStyle w:val="Compact"/>
      </w:pPr>
      <w:r>
        <w:rPr>
          <w:bCs/>
          <w:b/>
        </w:rPr>
        <w:t xml:space="preserve">Calculation:</w:t>
      </w:r>
      <w:r>
        <w:t xml:space="preserve"> </w:t>
      </w:r>
      <w:r>
        <w:t xml:space="preserve">1 kg * 100 km * 0.15 kg CO2e/tonne-km (0.00015 kg CO2e/kg-km) = 0.015 kg CO2e/unit</w:t>
      </w:r>
    </w:p>
    <w:p>
      <w:pPr>
        <w:numPr>
          <w:ilvl w:val="0"/>
          <w:numId w:val="1020"/>
        </w:numPr>
        <w:pStyle w:val="Compact"/>
      </w:pPr>
      <w:r>
        <w:rPr>
          <w:bCs/>
          <w:b/>
        </w:rPr>
        <w:t xml:space="preserve">Illustrative Scope 3, Category 9 Emissions:</w:t>
      </w:r>
      <w:r>
        <w:t xml:space="preserve"> </w:t>
      </w:r>
      <w:r>
        <w:t xml:space="preserve">0.02 kg CO2e/unit</w:t>
      </w:r>
    </w:p>
    <w:bookmarkEnd w:id="38"/>
    <w:bookmarkStart w:id="39" w:name="category-11-use-of-sold-products"/>
    <w:p>
      <w:pPr>
        <w:pStyle w:val="Heading4"/>
      </w:pPr>
      <w:r>
        <w:t xml:space="preserve">Category 11: Use of Sold Products</w:t>
      </w:r>
    </w:p>
    <w:p>
      <w:pPr>
        <w:pStyle w:val="FirstParagraph"/>
      </w:pPr>
      <w:r>
        <w:t xml:space="preserve">Emissions from energy consumption during the product\'s lifespan by the end-user.</w:t>
      </w:r>
    </w:p>
    <w:p>
      <w:pPr>
        <w:numPr>
          <w:ilvl w:val="0"/>
          <w:numId w:val="1021"/>
        </w:numPr>
        <w:pStyle w:val="Compact"/>
      </w:pPr>
      <w:r>
        <w:rPr>
          <w:bCs/>
          <w:b/>
        </w:rPr>
        <w:t xml:space="preserve">Product Lifespan:</w:t>
      </w:r>
      <w:r>
        <w:t xml:space="preserve"> </w:t>
      </w:r>
      <w:r>
        <w:t xml:space="preserve">7 years [zpofkprzsp]</w:t>
      </w:r>
    </w:p>
    <w:p>
      <w:pPr>
        <w:numPr>
          <w:ilvl w:val="0"/>
          <w:numId w:val="1021"/>
        </w:numPr>
        <w:pStyle w:val="Compact"/>
      </w:pPr>
      <w:r>
        <w:rPr>
          <w:bCs/>
          <w:b/>
        </w:rPr>
        <w:t xml:space="preserve">Energy Consumption in Use (Annual):</w:t>
      </w:r>
      <w:r>
        <w:t xml:space="preserve"> </w:t>
      </w:r>
      <w:r>
        <w:t xml:space="preserve">5 kWh/year [ddijkryjkz]</w:t>
      </w:r>
    </w:p>
    <w:p>
      <w:pPr>
        <w:numPr>
          <w:ilvl w:val="0"/>
          <w:numId w:val="1021"/>
        </w:numPr>
        <w:pStyle w:val="Compact"/>
      </w:pPr>
      <w:r>
        <w:rPr>
          <w:bCs/>
          <w:b/>
        </w:rPr>
        <w:t xml:space="preserve">Total Energy Consumption over Lifespan:</w:t>
      </w:r>
      <w:r>
        <w:t xml:space="preserve"> </w:t>
      </w:r>
      <w:r>
        <w:t xml:space="preserve">7 years * 5 kWh/year = 35 kWh</w:t>
      </w:r>
    </w:p>
    <w:p>
      <w:pPr>
        <w:numPr>
          <w:ilvl w:val="0"/>
          <w:numId w:val="1021"/>
        </w:numPr>
        <w:pStyle w:val="Compact"/>
      </w:pPr>
      <w:r>
        <w:rPr>
          <w:bCs/>
          <w:b/>
        </w:rPr>
        <w:t xml:space="preserve">Use Phase Grid Emission Factor:</w:t>
      </w:r>
      <w:r>
        <w:t xml:space="preserve"> </w:t>
      </w:r>
      <w:r>
        <w:t xml:space="preserve">0.4 kg CO2e/kWh (illustrative global average)</w:t>
      </w:r>
    </w:p>
    <w:p>
      <w:pPr>
        <w:numPr>
          <w:ilvl w:val="0"/>
          <w:numId w:val="1021"/>
        </w:numPr>
        <w:pStyle w:val="Compact"/>
      </w:pPr>
      <w:r>
        <w:rPr>
          <w:bCs/>
          <w:b/>
        </w:rPr>
        <w:t xml:space="preserve">Calculation:</w:t>
      </w:r>
      <w:r>
        <w:t xml:space="preserve"> </w:t>
      </w:r>
      <w:r>
        <w:t xml:space="preserve">35 kWh * 0.4 kg CO2e/kWh = 14.00 kg CO2e/unit</w:t>
      </w:r>
    </w:p>
    <w:p>
      <w:pPr>
        <w:numPr>
          <w:ilvl w:val="0"/>
          <w:numId w:val="1022"/>
        </w:numPr>
        <w:pStyle w:val="Compact"/>
      </w:pPr>
      <w:r>
        <w:rPr>
          <w:bCs/>
          <w:b/>
        </w:rPr>
        <w:t xml:space="preserve">Illustrative Scope 3, Category 11 Emissions:</w:t>
      </w:r>
      <w:r>
        <w:t xml:space="preserve"> </w:t>
      </w:r>
      <w:r>
        <w:t xml:space="preserve">14.00 kg CO2e/unit</w:t>
      </w:r>
    </w:p>
    <w:bookmarkEnd w:id="39"/>
    <w:bookmarkStart w:id="40" w:name="X9f66eef2700632e081dfe139021cb724ffcd2c5"/>
    <w:p>
      <w:pPr>
        <w:pStyle w:val="Heading4"/>
      </w:pPr>
      <w:r>
        <w:t xml:space="preserve">Category 12: End-of-Life Treatment of Sold Products</w:t>
      </w:r>
    </w:p>
    <w:p>
      <w:pPr>
        <w:pStyle w:val="FirstParagraph"/>
      </w:pPr>
      <w:r>
        <w:t xml:space="preserve">Emissions and avoided emissions associated with the disposal and recycling of the product at the end of its life.</w:t>
      </w:r>
    </w:p>
    <w:p>
      <w:pPr>
        <w:numPr>
          <w:ilvl w:val="0"/>
          <w:numId w:val="1023"/>
        </w:numPr>
        <w:pStyle w:val="Compact"/>
      </w:pPr>
      <w:r>
        <w:rPr>
          <w:bCs/>
          <w:b/>
        </w:rPr>
        <w:t xml:space="preserve">Recyclability Percentage:</w:t>
      </w:r>
      <w:r>
        <w:t xml:space="preserve"> </w:t>
      </w:r>
      <w:r>
        <w:t xml:space="preserve">85% [qyposyxmxt]</w:t>
      </w:r>
    </w:p>
    <w:p>
      <w:pPr>
        <w:numPr>
          <w:ilvl w:val="0"/>
          <w:numId w:val="1023"/>
        </w:numPr>
        <w:pStyle w:val="Compact"/>
      </w:pPr>
      <w:r>
        <w:rPr>
          <w:bCs/>
          <w:b/>
        </w:rPr>
        <w:t xml:space="preserve">Circular/Take-back Programs:</w:t>
      </w:r>
      <w:r>
        <w:t xml:space="preserve"> </w:t>
      </w:r>
      <w:r>
        <w:t xml:space="preserve">Established Product Take-back and Refurbishment Program [zuquvlvmfm]</w:t>
      </w:r>
    </w:p>
    <w:p>
      <w:pPr>
        <w:numPr>
          <w:ilvl w:val="0"/>
          <w:numId w:val="1023"/>
        </w:numPr>
        <w:pStyle w:val="Compact"/>
      </w:pPr>
      <w:r>
        <w:rPr>
          <w:bCs/>
          <w:b/>
        </w:rPr>
        <w:t xml:space="preserve">Assumed Virgin Production Emissions (avoided by recycling/refurbishment):</w:t>
      </w:r>
      <w:r>
        <w:t xml:space="preserve"> </w:t>
      </w:r>
      <w:r>
        <w:t xml:space="preserve">10.0 kg CO2e/kg of product (illustrative average for complex electronics)</w:t>
      </w:r>
    </w:p>
    <w:p>
      <w:pPr>
        <w:numPr>
          <w:ilvl w:val="0"/>
          <w:numId w:val="1023"/>
        </w:numPr>
        <w:pStyle w:val="Compact"/>
      </w:pPr>
      <w:r>
        <w:rPr>
          <w:bCs/>
          <w:b/>
        </w:rPr>
        <w:t xml:space="preserve">Emissions from Recycling Process:</w:t>
      </w:r>
      <w:r>
        <w:t xml:space="preserve"> </w:t>
      </w:r>
      <w:r>
        <w:t xml:space="preserve">Assume 1.0 kg CO2e/kg of recycled material (illustrative)</w:t>
      </w:r>
    </w:p>
    <w:p>
      <w:pPr>
        <w:numPr>
          <w:ilvl w:val="0"/>
          <w:numId w:val="1023"/>
        </w:numPr>
        <w:pStyle w:val="Compact"/>
      </w:pPr>
      <w:r>
        <w:rPr>
          <w:bCs/>
          <w:b/>
        </w:rPr>
        <w:t xml:space="preserve">Emissions from Landfilling (for non-recycled portion):</w:t>
      </w:r>
      <w:r>
        <w:t xml:space="preserve"> </w:t>
      </w:r>
      <w:r>
        <w:t xml:space="preserve">Assume 0.5 kg CO2e/kg of landfilled material (illustrative)</w:t>
      </w:r>
    </w:p>
    <w:p>
      <w:pPr>
        <w:numPr>
          <w:ilvl w:val="0"/>
          <w:numId w:val="1023"/>
        </w:numPr>
        <w:pStyle w:val="Compact"/>
      </w:pPr>
      <w:r>
        <w:rPr>
          <w:bCs/>
          <w:b/>
        </w:rPr>
        <w:t xml:space="preserve">Calculation for End-of-Life:</w:t>
      </w:r>
    </w:p>
    <w:p>
      <w:pPr>
        <w:numPr>
          <w:ilvl w:val="1"/>
          <w:numId w:val="1024"/>
        </w:numPr>
        <w:pStyle w:val="Compact"/>
      </w:pPr>
      <w:r>
        <w:rPr>
          <w:bCs/>
          <w:b/>
        </w:rPr>
        <w:t xml:space="preserve">Avoided Emissions (Recycling/Refurbishment):</w:t>
      </w:r>
      <w:r>
        <w:t xml:space="preserve"> </w:t>
      </w:r>
      <w:r>
        <w:t xml:space="preserve">1 kg (product weight) * 0.85 (recyclability) * 10.0 kg CO2e/kg (avoided virgin) = -8.50 kg CO2e</w:t>
      </w:r>
    </w:p>
    <w:p>
      <w:pPr>
        <w:numPr>
          <w:ilvl w:val="1"/>
          <w:numId w:val="1024"/>
        </w:numPr>
        <w:pStyle w:val="Compact"/>
      </w:pPr>
      <w:r>
        <w:rPr>
          <w:bCs/>
          <w:b/>
        </w:rPr>
        <w:t xml:space="preserve">Emissions from Recycling Process:</w:t>
      </w:r>
      <w:r>
        <w:t xml:space="preserve"> </w:t>
      </w:r>
      <w:r>
        <w:t xml:space="preserve">1 kg * 0.85 * 1.0 kg CO2e/kg = 0.85 kg CO2e</w:t>
      </w:r>
    </w:p>
    <w:p>
      <w:pPr>
        <w:numPr>
          <w:ilvl w:val="1"/>
          <w:numId w:val="1024"/>
        </w:numPr>
        <w:pStyle w:val="Compact"/>
      </w:pPr>
      <w:r>
        <w:rPr>
          <w:bCs/>
          <w:b/>
        </w:rPr>
        <w:t xml:space="preserve">Emissions from Landfilling (15%):</w:t>
      </w:r>
      <w:r>
        <w:t xml:space="preserve"> </w:t>
      </w:r>
      <w:r>
        <w:t xml:space="preserve">1 kg * 0.15 (non-recycled) * 0.5 kg CO2e/kg = 0.075 kg CO2e</w:t>
      </w:r>
    </w:p>
    <w:p>
      <w:pPr>
        <w:numPr>
          <w:ilvl w:val="1"/>
          <w:numId w:val="1024"/>
        </w:numPr>
        <w:pStyle w:val="Compact"/>
      </w:pPr>
      <w:r>
        <w:rPr>
          <w:bCs/>
          <w:b/>
        </w:rPr>
        <w:t xml:space="preserve">Net End-of-Life:</w:t>
      </w:r>
      <w:r>
        <w:t xml:space="preserve"> </w:t>
      </w:r>
      <w:r>
        <w:t xml:space="preserve">-8.50 + 0.85 + 0.075 = -7.575 kg CO2e/unit</w:t>
      </w:r>
    </w:p>
    <w:p>
      <w:pPr>
        <w:numPr>
          <w:ilvl w:val="0"/>
          <w:numId w:val="1025"/>
        </w:numPr>
        <w:pStyle w:val="Compact"/>
      </w:pPr>
      <w:r>
        <w:rPr>
          <w:bCs/>
          <w:b/>
        </w:rPr>
        <w:t xml:space="preserve">Illustrative Scope 3, Category 12 Emissions:</w:t>
      </w:r>
      <w:r>
        <w:t xml:space="preserve"> </w:t>
      </w:r>
      <w:r>
        <w:t xml:space="preserve">-7.58 kg CO2e/unit (Net Carbon Sink due to high recyclability and circular programs)</w:t>
      </w:r>
    </w:p>
    <w:bookmarkEnd w:id="40"/>
    <w:bookmarkEnd w:id="41"/>
    <w:bookmarkStart w:id="42" w:name="Xacf18fa8957e1f046de293c55a55509dc5caf5b"/>
    <w:p>
      <w:pPr>
        <w:pStyle w:val="Heading3"/>
      </w:pPr>
      <w:r>
        <w:t xml:space="preserve">Summary of Illustrative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Illustrative 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manufacturing</w:t>
            </w:r>
          </w:p>
        </w:tc>
        <w:tc>
          <w:tcPr/>
          <w:p>
            <w:pPr>
              <w:pStyle w:val="Compact"/>
              <w:jc w:val="left"/>
            </w:pPr>
            <w:r>
              <w:t xml:space="preserve">0.14</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12.82</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0.17</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0.02</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14.00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-7.58</w:t>
            </w:r>
          </w:p>
        </w:tc>
      </w:tr>
      <w:tr>
        <w:tc>
          <w:tcPr>
            <w:gridSpan w:val="3"/>
          </w:tcPr>
          <w:p>
            <w:pPr>
              <w:pStyle w:val="Compact"/>
              <w:jc w:val="right"/>
            </w:pPr>
            <w:r>
              <w:rPr>
                <w:bCs/>
                <w:b/>
              </w:rPr>
              <w:t xml:space="preserve">TOTAL PRODUCT CARBON FOOTPRINT (Illustrative)</w:t>
            </w:r>
          </w:p>
        </w:tc>
        <w:tc>
          <w:tcPr/>
          <w:p>
            <w:pPr>
              <w:pStyle w:val="Compact"/>
              <w:jc w:val="left"/>
            </w:pPr>
            <w:r>
              <w:rPr>
                <w:bCs/>
                <w:b/>
              </w:rPr>
              <w:t xml:space="preserve">19.57 kg CO2e/unit</w:t>
            </w:r>
          </w:p>
        </w:tc>
      </w:tr>
    </w:tbl>
    <w:p>
      <w:pPr>
        <w:pStyle w:val="BodyText"/>
      </w:pPr>
      <w:r>
        <w:rPr>
          <w:iCs/>
          <w:i/>
        </w:rPr>
        <w:t xml:space="preserve">Calculations based on illustrative values. Actual PCF will vary with precise, audited data for all parameters.</w:t>
      </w:r>
    </w:p>
    <w:p>
      <w:r>
        <w:pict>
          <v:rect style="width:0;height:1.5pt" o:hralign="center" o:hrstd="t" o:hr="t"/>
        </w:pict>
      </w:r>
    </w:p>
    <w:bookmarkEnd w:id="42"/>
    <w:bookmarkEnd w:id="43"/>
    <w:bookmarkStart w:id="46" w:name="review-report-hotspots-and-reliability"/>
    <w:p>
      <w:pPr>
        <w:pStyle w:val="Heading2"/>
      </w:pPr>
      <w:r>
        <w:t xml:space="preserve">5. Review &amp; Report (Hotspots and reliability)</w:t>
      </w:r>
    </w:p>
    <w:bookmarkStart w:id="44" w:name="emission-hotspots"/>
    <w:p>
      <w:pPr>
        <w:pStyle w:val="Heading3"/>
      </w:pPr>
      <w:r>
        <w:t xml:space="preserve">Emission Hotspots</w:t>
      </w:r>
    </w:p>
    <w:p>
      <w:pPr>
        <w:pStyle w:val="FirstParagraph"/>
      </w:pPr>
      <w:r>
        <w:t xml:space="preserve">Based on the illustrative calculations, the primary emission hotspots for lkgzjqvjny (Smart Home Device) are:</w:t>
      </w:r>
    </w:p>
    <w:p>
      <w:pPr>
        <w:numPr>
          <w:ilvl w:val="0"/>
          <w:numId w:val="1026"/>
        </w:numPr>
        <w:pStyle w:val="Compact"/>
      </w:pPr>
      <w:r>
        <w:rPr>
          <w:bCs/>
          <w:b/>
        </w:rPr>
        <w:t xml:space="preserve">Use Phase (Scope 3, Category 11):</w:t>
      </w:r>
      <w:r>
        <w:t xml:space="preserve"> </w:t>
      </w:r>
      <w:r>
        <w:t xml:space="preserve">This is the single largest contributor, accounting for approximately 71% of the positive emissions (14.00 kg CO2e) before considering EoL benefits. This highlights the significant impact of the product\'s energy consumption during its operational lifespan.</w:t>
      </w:r>
    </w:p>
    <w:p>
      <w:pPr>
        <w:numPr>
          <w:ilvl w:val="0"/>
          <w:numId w:val="1026"/>
        </w:numPr>
        <w:pStyle w:val="Compact"/>
      </w:pPr>
      <w:r>
        <w:rPr>
          <w:bCs/>
          <w:b/>
        </w:rPr>
        <w:t xml:space="preserve">Purchased Goods and Services (Scope 3, Category 1):</w:t>
      </w:r>
      <w:r>
        <w:t xml:space="preserve"> </w:t>
      </w:r>
      <w:r>
        <w:t xml:space="preserve">Material extraction and manufacturing contribute significantly, representing roughly 65% of the positive emissions (12.82 kg CO2e) before considering EoL benefits. Specifically, the Aluminium Casing and Circuit Board (PCBA) appear to be key drivers based on the illustrative BOM.</w:t>
      </w:r>
    </w:p>
    <w:p>
      <w:pPr>
        <w:pStyle w:val="FirstParagraph"/>
      </w:pPr>
      <w:r>
        <w:t xml:space="preserve">While transportation contributes, its impact is relatively minor compared to the material and use phases. The strong circular economy initiatives (high recyclability and take-back programs) result in significant avoided emissions at the End-of-Life stage, making it a net carbon sink and substantially reducing the overall PCF.</w:t>
      </w:r>
    </w:p>
    <w:bookmarkEnd w:id="44"/>
    <w:bookmarkStart w:id="45" w:name="data-reliability-and-recommendations"/>
    <w:p>
      <w:pPr>
        <w:pStyle w:val="Heading3"/>
      </w:pPr>
      <w:r>
        <w:t xml:space="preserve">Data Reliability and Recommendations</w:t>
      </w:r>
    </w:p>
    <w:p>
      <w:pPr>
        <w:pStyle w:val="FirstParagraph"/>
      </w:pPr>
      <w:r>
        <w:t xml:space="preserve">The reliability of this report is directly tied to the quality and specificity of the input data. For this demonstration, illustrative data was used for many parameters (e.g., specific transport distances and modes, EFs for various stages, product weight, detailed energy mix for use phase, EoL scenarios). To enhance reliability for future assessments:</w:t>
      </w:r>
    </w:p>
    <w:p>
      <w:pPr>
        <w:numPr>
          <w:ilvl w:val="0"/>
          <w:numId w:val="1027"/>
        </w:numPr>
        <w:pStyle w:val="Compact"/>
      </w:pPr>
      <w:r>
        <w:rPr>
          <w:bCs/>
          <w:b/>
        </w:rPr>
        <w:t xml:space="preserve">Primary Data Collection:</w:t>
      </w:r>
      <w:r>
        <w:t xml:space="preserve"> </w:t>
      </w:r>
      <w:r>
        <w:t xml:space="preserve">Prioritize collecting primary, supplier-specific data for all major components and materials. This directly addresses the 2026 GHG Protocol Scope 3 requirement for data disaggregation by source type, favoring primary data for improved transparency and comparability.</w:t>
      </w:r>
    </w:p>
    <w:p>
      <w:pPr>
        <w:numPr>
          <w:ilvl w:val="0"/>
          <w:numId w:val="1027"/>
        </w:numPr>
        <w:pStyle w:val="Compact"/>
      </w:pPr>
      <w:r>
        <w:rPr>
          <w:bCs/>
          <w:b/>
        </w:rPr>
        <w:t xml:space="preserve">Energy Mix Granularity:</w:t>
      </w:r>
      <w:r>
        <w:t xml:space="preserve"> </w:t>
      </w:r>
      <w:r>
        <w:t xml:space="preserve">For the use phase, gather data on the typical energy mix of end-user countries to apply more accurate regional grid emission factors.</w:t>
      </w:r>
    </w:p>
    <w:p>
      <w:pPr>
        <w:numPr>
          <w:ilvl w:val="0"/>
          <w:numId w:val="1027"/>
        </w:numPr>
        <w:pStyle w:val="Compact"/>
      </w:pPr>
      <w:r>
        <w:rPr>
          <w:bCs/>
          <w:b/>
        </w:rPr>
        <w:t xml:space="preserve">Transport Optimization:</w:t>
      </w:r>
      <w:r>
        <w:t xml:space="preserve"> </w:t>
      </w:r>
      <w:r>
        <w:t xml:space="preserve">Collect specific data on transport load factors, vehicle types, and exact routes to apply more precise emission factors (e.g., from DEFRA).</w:t>
      </w:r>
    </w:p>
    <w:p>
      <w:pPr>
        <w:numPr>
          <w:ilvl w:val="0"/>
          <w:numId w:val="1027"/>
        </w:numPr>
        <w:pStyle w:val="Compact"/>
      </w:pPr>
      <w:r>
        <w:rPr>
          <w:bCs/>
          <w:b/>
        </w:rPr>
        <w:t xml:space="preserve">Life Cycle Inventory (LCI) Databases:</w:t>
      </w:r>
      <w:r>
        <w:t xml:space="preserve"> </w:t>
      </w:r>
      <w:r>
        <w:t xml:space="preserve">Continue to leverage robust LCI databases like Ecoinvent for background processes, ensuring the latest versions (e.g., ecoinvent 3.12) are utilized for up-to-date emission factors.</w:t>
      </w:r>
    </w:p>
    <w:p>
      <w:pPr>
        <w:numPr>
          <w:ilvl w:val="0"/>
          <w:numId w:val="1027"/>
        </w:numPr>
        <w:pStyle w:val="Compact"/>
      </w:pPr>
      <w:r>
        <w:rPr>
          <w:bCs/>
          <w:b/>
        </w:rPr>
        <w:t xml:space="preserve">LSR Standard Implementation:</w:t>
      </w:r>
      <w:r>
        <w:t xml:space="preserve"> </w:t>
      </w:r>
      <w:r>
        <w:t xml:space="preserve">For future reporting (effective January 1, 2027), fully integrate the GHG Protocol Land Sector and Removals Standard, especially if any raw materials involve significant land use change or management activities.</w:t>
      </w:r>
    </w:p>
    <w:p>
      <w:pPr>
        <w:pStyle w:val="FirstParagraph"/>
      </w:pPr>
      <w:r>
        <w:t xml:space="preserve">By addressing these data gaps and continuously refining the underlying data, evnyuvpyuz can further optimize the carbon performance of lkgzjqvjny and other products, strengthening its position as a sustainable leader.</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(lkgzjqvjny)</dc:title>
  <dc:creator/>
  <dc:description>Detailed Product Carbon Footprint (PCF) analysis report for lkgzjqvjny, a Smart Home Device by GlobalTech Solutions (evnyuvpyuz), conducted by Senior Sustainability Consultant Dr. Anya Sharma (nidnytjejn), adhering to GHG Protocol standards and 2026 updates.</dc:description>
  <dc:language>en</dc:language>
  <cp:keywords/>
  <dcterms:created xsi:type="dcterms:W3CDTF">2026-07-15T05:48:48Z</dcterms:created>
  <dcterms:modified xsi:type="dcterms:W3CDTF">2026-07-15T05:48:48Z</dcterms:modified>
</cp:coreProperties>
</file>

<file path=docProps/custom.xml><?xml version="1.0" encoding="utf-8"?>
<Properties xmlns="http://schemas.openxmlformats.org/officeDocument/2006/custom-properties" xmlns:vt="http://schemas.openxmlformats.org/officeDocument/2006/docPropsVTypes"/>
</file>