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Device</w:t>
      </w:r>
      <w:r>
        <w:t xml:space="preserve"> </w:t>
      </w:r>
      <w:r>
        <w:t xml:space="preserve">(innguxuskt)</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0" w:name="product-smart-home-device-innguxuskt"/>
    <w:p>
      <w:pPr>
        <w:pStyle w:val="Heading3"/>
      </w:pPr>
      <w:r>
        <w:t xml:space="preserve">Product: Smart Home Device (innguxuskt)</w:t>
      </w:r>
    </w:p>
    <w:bookmarkEnd w:id="20"/>
    <w:bookmarkStart w:id="21" w:name="company-name-vruhssiuyv"/>
    <w:p>
      <w:pPr>
        <w:pStyle w:val="Heading3"/>
      </w:pPr>
      <w:r>
        <w:t xml:space="preserve">Company Name: vruhssiuyv</w:t>
      </w:r>
    </w:p>
    <w:bookmarkEnd w:id="21"/>
    <w:bookmarkStart w:id="22" w:name="X7f8f3cbe9d05a9a79c81d5f60d73bd993b5e065"/>
    <w:p>
      <w:pPr>
        <w:pStyle w:val="Heading3"/>
      </w:pPr>
      <w:r>
        <w:t xml:space="preserve">Senior Sustainability Consultant: ofhjdxdmvf</w:t>
      </w:r>
    </w:p>
    <w:bookmarkEnd w:id="22"/>
    <w:bookmarkStart w:id="23" w:name="accounting-standard-ghg-protocol"/>
    <w:p>
      <w:pPr>
        <w:pStyle w:val="Heading3"/>
      </w:pPr>
      <w:r>
        <w:t xml:space="preserve">Accounting Standard: GHG Protocol</w:t>
      </w:r>
    </w:p>
    <w:p>
      <w:pPr>
        <w:pStyle w:val="FirstParagraph"/>
      </w:pPr>
      <w:r>
        <w:rPr>
          <w:iCs/>
          <w:i/>
        </w:rPr>
        <w:t xml:space="preserve">This report is generated based on available data and industry standards. While efforts have been made to ensure accuracy and adherence to the GHG Protocol, results are indicative and dependent on the completeness and quality of input data.</w:t>
      </w:r>
    </w:p>
    <w:bookmarkEnd w:id="23"/>
    <w:bookmarkEnd w:id="24"/>
    <w:bookmarkStart w:id="25" w:name="product-carbon-footprint-report"/>
    <w:p>
      <w:pPr>
        <w:pStyle w:val="Heading1"/>
      </w:pPr>
      <w:r>
        <w:t xml:space="preserve">Product Carbon Footprint Report</w:t>
      </w:r>
    </w:p>
    <w:p>
      <w:pPr>
        <w:pStyle w:val="FirstParagraph"/>
      </w:pPr>
      <w:r>
        <w:t xml:space="preserve">Generated Date: May 27, 2026</w:t>
      </w:r>
    </w:p>
    <w:bookmarkEnd w:id="25"/>
    <w:p>
      <w:r>
        <w:pict>
          <v:rect style="width:0;height:1.5pt" o:hralign="center" o:hrstd="t" o:hr="t"/>
        </w:pict>
      </w:r>
    </w:p>
    <w:bookmarkStart w:id="26" w:name="executive-summary"/>
    <w:p>
      <w:pPr>
        <w:pStyle w:val="Heading2"/>
      </w:pPr>
      <w:r>
        <w:t xml:space="preserve">1. Executive Summary</w:t>
      </w:r>
    </w:p>
    <w:p>
      <w:pPr>
        <w:pStyle w:val="FirstParagraph"/>
      </w:pPr>
      <w:r>
        <w:t xml:space="preserve">This report presents a high-detail Product Carbon Footprint (PCF) analysis for the Smart Home Device (innguxuskt) manufactured by vruhssiuyv. The analysis adheres to the GHG Protocol and aims to identify greenhouse gas (GHG) emission hotspots across the product\'s lifecycle, from raw material extraction to end-of-life. The total calculated PCF for the Smart Home Device (innguxuskt) is approximately</w:t>
      </w:r>
      <w:r>
        <w:t xml:space="preserve"> </w:t>
      </w:r>
      <w:r>
        <w:rPr>
          <w:bCs/>
          <w:b/>
        </w:rPr>
        <w:t xml:space="preserve">13.65 kg CO2e per functional unit</w:t>
      </w:r>
      <w:r>
        <w:t xml:space="preserve">, with the use phase being the most significant contributor. This report provides a foundational understanding for vruhssiuyv to develop targeted emission reduction strategies and improve sustainability performance.</w:t>
      </w:r>
    </w:p>
    <w:p>
      <w:r>
        <w:pict>
          <v:rect style="width:0;height:1.5pt" o:hralign="center" o:hrstd="t" o:hr="t"/>
        </w:pict>
      </w:r>
    </w:p>
    <w:bookmarkEnd w:id="26"/>
    <w:bookmarkStart w:id="32" w:name="methodology-and-scope-definition"/>
    <w:p>
      <w:pPr>
        <w:pStyle w:val="Heading2"/>
      </w:pPr>
      <w:r>
        <w:t xml:space="preserve">2. Methodology and Scope Definition</w:t>
      </w:r>
    </w:p>
    <w:p>
      <w:pPr>
        <w:pStyle w:val="FirstParagraph"/>
      </w:pPr>
      <w:r>
        <w:t xml:space="preserve">The Product Carbon Footprint (PCF) analysis for the Smart Home Device (innguxuskt) was conducted following a comprehensive lifecycle assessment (LCA) approach, in accordance with the GHG Protocol Product Standard. The methodology encompassed the following steps:</w:t>
      </w:r>
    </w:p>
    <w:p>
      <w:pPr>
        <w:numPr>
          <w:ilvl w:val="0"/>
          <w:numId w:val="1001"/>
        </w:numPr>
        <w:pStyle w:val="Compact"/>
      </w:pPr>
      <w:r>
        <w:rPr>
          <w:bCs/>
          <w:b/>
        </w:rPr>
        <w:t xml:space="preserve">Define Scope:</w:t>
      </w:r>
      <w:r>
        <w:t xml:space="preserve"> </w:t>
      </w:r>
      <w:r>
        <w:t xml:space="preserve">Establish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lifecycle inventory (LCI) stages relevant to the product.</w:t>
      </w:r>
    </w:p>
    <w:p>
      <w:pPr>
        <w:numPr>
          <w:ilvl w:val="0"/>
          <w:numId w:val="1001"/>
        </w:numPr>
        <w:pStyle w:val="Compact"/>
      </w:pPr>
      <w:r>
        <w:rPr>
          <w:bCs/>
          <w:b/>
        </w:rPr>
        <w:t xml:space="preserve">Collect Data:</w:t>
      </w:r>
      <w:r>
        <w:t xml:space="preserve"> </w:t>
      </w:r>
      <w:r>
        <w:t xml:space="preserve">Gather primary and secondary data points for all identified stages.</w:t>
      </w:r>
    </w:p>
    <w:p>
      <w:pPr>
        <w:numPr>
          <w:ilvl w:val="0"/>
          <w:numId w:val="1001"/>
        </w:numPr>
        <w:pStyle w:val="Compact"/>
      </w:pPr>
      <w:r>
        <w:rPr>
          <w:bCs/>
          <w:b/>
        </w:rPr>
        <w:t xml:space="preserve">Calculate Emissions:</w:t>
      </w:r>
      <w:r>
        <w:t xml:space="preserve"> </w:t>
      </w:r>
      <w:r>
        <w:t xml:space="preserve">Quantify GHG emissions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7"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the Smart Home Device (innguxuskt) providing its intended functionality over its estimated lifespan.</w:t>
      </w:r>
    </w:p>
    <w:bookmarkEnd w:id="27"/>
    <w:bookmarkStart w:id="28" w:name="system-boundary"/>
    <w:p>
      <w:pPr>
        <w:pStyle w:val="Heading3"/>
      </w:pPr>
      <w:r>
        <w:t xml:space="preserve">2.2. System Boundary</w:t>
      </w:r>
    </w:p>
    <w:p>
      <w:pPr>
        <w:pStyle w:val="FirstParagraph"/>
      </w:pPr>
      <w:r>
        <w:t xml:space="preserve">The primary system boundary for the manufacturing process is set at</w:t>
      </w:r>
      <w:r>
        <w:t xml:space="preserve"> </w:t>
      </w:r>
      <w:r>
        <w:rPr>
          <w:bCs/>
          <w:b/>
        </w:rPr>
        <w:t xml:space="preserve">\'factory_gate\'</w:t>
      </w:r>
      <w:r>
        <w:t xml:space="preserve">, encompassing all upstream activities up to the point the finished product leaves the production facility in China. However, to provide a comprehensive \'cradle-to-grave\' PCF as requested, the analysis extends beyond the strict factory gate to include the downstream use phase and end-of-life treatment of the product. This full scope allows for a more holistic understanding of the product\'s environmental impact.</w:t>
      </w:r>
    </w:p>
    <w:bookmarkEnd w:id="28"/>
    <w:bookmarkStart w:id="29" w:name="geographic-scope"/>
    <w:p>
      <w:pPr>
        <w:pStyle w:val="Heading3"/>
      </w:pPr>
      <w:r>
        <w:t xml:space="preserve">2.3. Geographic Scope</w:t>
      </w:r>
    </w:p>
    <w:p>
      <w:pPr>
        <w:pStyle w:val="FirstParagraph"/>
      </w:pPr>
      <w:r>
        <w:t xml:space="preserve">The</w:t>
      </w:r>
      <w:r>
        <w:t xml:space="preserve"> </w:t>
      </w:r>
      <w:r>
        <w:rPr>
          <w:bCs/>
          <w:b/>
        </w:rPr>
        <w:t xml:space="preserve">Final Production Country is China</w:t>
      </w:r>
      <w:r>
        <w:t xml:space="preserve">, with a primary</w:t>
      </w:r>
      <w:r>
        <w:t xml:space="preserve"> </w:t>
      </w:r>
      <w:r>
        <w:rPr>
          <w:bCs/>
          <w:b/>
        </w:rPr>
        <w:t xml:space="preserve">Supply Chain Focus on Europe</w:t>
      </w:r>
      <w:r>
        <w:t xml:space="preserve"> </w:t>
      </w:r>
      <w:r>
        <w:t xml:space="preserve">for sourcing certain components and destination for finished products. The use phase emissions consider a general European electricity mix, while end-of-life scenarios reflect common practices in European markets.</w:t>
      </w:r>
    </w:p>
    <w:bookmarkEnd w:id="29"/>
    <w:bookmarkStart w:id="30" w:name="allocation"/>
    <w:p>
      <w:pPr>
        <w:pStyle w:val="Heading3"/>
      </w:pPr>
      <w:r>
        <w:t xml:space="preserve">2.4. Allocation</w:t>
      </w:r>
    </w:p>
    <w:p>
      <w:pPr>
        <w:pStyle w:val="FirstParagraph"/>
      </w:pPr>
      <w:r>
        <w:t xml:space="preserve">Emissions are allocated directly to the functional unit. In cases of co-production or shared processes, allocation is performed based on mass or economic value where appropriate, following GHG Protocol guidance.</w:t>
      </w:r>
    </w:p>
    <w:bookmarkEnd w:id="30"/>
    <w:bookmarkStart w:id="31" w:name="accounting-standard"/>
    <w:p>
      <w:pPr>
        <w:pStyle w:val="Heading3"/>
      </w:pPr>
      <w:r>
        <w:t xml:space="preserve">2.5. Accounting Standard</w:t>
      </w:r>
    </w:p>
    <w:p>
      <w:pPr>
        <w:pStyle w:val="FirstParagraph"/>
      </w:pPr>
      <w:r>
        <w:t xml:space="preserve">This Product Carbon Footprint analysis strictly adheres to the</w:t>
      </w:r>
      <w:r>
        <w:t xml:space="preserve"> </w:t>
      </w:r>
      <w:r>
        <w:rPr>
          <w:bCs/>
          <w:b/>
        </w:rPr>
        <w:t xml:space="preserve">GHG Protocol Product Life Cycle Accounting and Reporting Standard</w:t>
      </w:r>
      <w:r>
        <w:t xml:space="preserve">. Emissions are categorized into:</w:t>
      </w:r>
    </w:p>
    <w:p>
      <w:pPr>
        <w:numPr>
          <w:ilvl w:val="0"/>
          <w:numId w:val="1002"/>
        </w:numPr>
        <w:pStyle w:val="Compact"/>
      </w:pPr>
      <w:r>
        <w:rPr>
          <w:bCs/>
          <w:b/>
        </w:rPr>
        <w:t xml:space="preserve">Scope 1:</w:t>
      </w:r>
      <w:r>
        <w:t xml:space="preserve"> </w:t>
      </w:r>
      <w:r>
        <w:t xml:space="preserve">Direct GHG emissions from sources owned or controlled by vruhssiuyv\'s manufacturing operations.</w:t>
      </w:r>
    </w:p>
    <w:p>
      <w:pPr>
        <w:numPr>
          <w:ilvl w:val="0"/>
          <w:numId w:val="1002"/>
        </w:numPr>
        <w:pStyle w:val="Compact"/>
      </w:pPr>
      <w:r>
        <w:rPr>
          <w:bCs/>
          <w:b/>
        </w:rPr>
        <w:t xml:space="preserve">Scope 2:</w:t>
      </w:r>
      <w:r>
        <w:t xml:space="preserve"> </w:t>
      </w:r>
      <w:r>
        <w:t xml:space="preserve">Indirect GHG emissions from the generation of purchased electricity consumed by vruhssiuyv\'s manufacturing operations.</w:t>
      </w:r>
    </w:p>
    <w:p>
      <w:pPr>
        <w:numPr>
          <w:ilvl w:val="0"/>
          <w:numId w:val="1002"/>
        </w:numPr>
        <w:pStyle w:val="Compact"/>
      </w:pPr>
      <w:r>
        <w:rPr>
          <w:bCs/>
          <w:b/>
        </w:rPr>
        <w:t xml:space="preserve">Scope 3:</w:t>
      </w:r>
      <w:r>
        <w:t xml:space="preserve"> </w:t>
      </w:r>
      <w:r>
        <w:t xml:space="preserve">All other indirect GHG emissions that occur in the value chain of the product, both upstream and downstream. This includes emissions from raw material extraction, upstream transportation, downstream transportation, product use, and end-of-life treatment.</w:t>
      </w:r>
    </w:p>
    <w:p>
      <w:pPr>
        <w:pStyle w:val="FirstParagraph"/>
      </w:pPr>
      <w:r>
        <w:t xml:space="preserve">Consistent with 2026 requirements, efforts have been made to ensure at least</w:t>
      </w:r>
      <w:r>
        <w:t xml:space="preserve"> </w:t>
      </w:r>
      <w:r>
        <w:rPr>
          <w:bCs/>
          <w:b/>
        </w:rPr>
        <w:t xml:space="preserve">95% coverage for Scope 3 reporting</w:t>
      </w:r>
      <w:r>
        <w:t xml:space="preserve">. Furthermore, the analysis has considered the principles of the</w:t>
      </w:r>
      <w:r>
        <w:t xml:space="preserve"> </w:t>
      </w:r>
      <w:r>
        <w:rPr>
          <w:bCs/>
          <w:b/>
        </w:rPr>
        <w:t xml:space="preserve">Land Sector and Removals (LSR) Standard</w:t>
      </w:r>
      <w:r>
        <w:t xml:space="preserve">; however, due to the nature of the product and lack of specific land-use change data for its components, direct LSR impacts are considered negligible for this assessment. A more detailed LSR assessment would require specific primary data on land-use for bio-based materials, if applicable.</w:t>
      </w:r>
    </w:p>
    <w:p>
      <w:r>
        <w:pict>
          <v:rect style="width:0;height:1.5pt" o:hralign="center" o:hrstd="t" o:hr="t"/>
        </w:pict>
      </w:r>
    </w:p>
    <w:bookmarkEnd w:id="31"/>
    <w:bookmarkEnd w:id="32"/>
    <w:bookmarkStart w:id="39" w:name="X939a47aef72a4a28c08ea406bdad185696e1f66"/>
    <w:p>
      <w:pPr>
        <w:pStyle w:val="Heading2"/>
      </w:pPr>
      <w:r>
        <w:t xml:space="preserve">3. Lifecycle Inventory (LCI) and Data Collection</w:t>
      </w:r>
    </w:p>
    <w:p>
      <w:pPr>
        <w:pStyle w:val="FirstParagraph"/>
      </w:pPr>
      <w:r>
        <w:t xml:space="preserve">This section details the inputs and outputs associated with each stage of the Smart Home Device (innguxuskt)\'s lifecycle, serving as the basis for emission calculations.</w:t>
      </w:r>
    </w:p>
    <w:bookmarkStart w:id="33" w:name="detailed-bill-of-materials-bom-analysis"/>
    <w:p>
      <w:pPr>
        <w:pStyle w:val="Heading3"/>
      </w:pPr>
      <w:r>
        <w:t xml:space="preserve">3.1. Detailed Bill of Materials (BOM) Analysis</w:t>
      </w:r>
    </w:p>
    <w:p>
      <w:pPr>
        <w:pStyle w:val="FirstParagraph"/>
      </w:pPr>
      <w:r>
        <w:t xml:space="preserve">The following Bill of Materials (BOM) for the Smart Home Device (innguxuskt) (representing the parameter \'sxstiuio\') was used for high-accuracy material impact calculation:</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3.20</w:t>
            </w:r>
          </w:p>
        </w:tc>
        <w:tc>
          <w:tcPr/>
          <w:p>
            <w:pPr>
              <w:pStyle w:val="Compact"/>
              <w:jc w:val="left"/>
            </w:pPr>
            <w:r>
              <w:t xml:space="preserve">0.64</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12.00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15.00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3.50</w:t>
            </w:r>
          </w:p>
        </w:tc>
        <w:tc>
          <w:tcPr/>
          <w:p>
            <w:pPr>
              <w:pStyle w:val="Compact"/>
              <w:jc w:val="left"/>
            </w:pPr>
            <w:r>
              <w:t xml:space="preserve">0.07</w:t>
            </w:r>
          </w:p>
        </w:tc>
      </w:tr>
      <w:tr>
        <w:tc>
          <w:tcPr/>
          <w:p>
            <w:pPr>
              <w:pStyle w:val="Compact"/>
              <w:jc w:val="left"/>
            </w:pPr>
            <w:r>
              <w:t xml:space="preserve">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1.20</w:t>
            </w:r>
          </w:p>
        </w:tc>
        <w:tc>
          <w:tcPr/>
          <w:p>
            <w:pPr>
              <w:pStyle w:val="Compact"/>
              <w:jc w:val="left"/>
            </w:pPr>
            <w:r>
              <w:t xml:space="preserve">0.18</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1.00</w:t>
            </w:r>
          </w:p>
        </w:tc>
        <w:tc>
          <w:tcPr/>
          <w:p>
            <w:pPr>
              <w:pStyle w:val="Compact"/>
              <w:jc w:val="left"/>
            </w:pPr>
            <w:r>
              <w:t xml:space="preserve">0.01</w:t>
            </w:r>
          </w:p>
        </w:tc>
      </w:tr>
      <w:tr>
        <w:tc>
          <w:tcPr>
            <w:gridSpan w:val="4"/>
          </w:tcPr>
          <w:p>
            <w:pPr>
              <w:pStyle w:val="Compact"/>
              <w:jc w:val="right"/>
            </w:pPr>
            <w:r>
              <w:rPr>
                <w:bCs/>
                <w:b/>
              </w:rPr>
              <w:t xml:space="preserve">Total Material Weight:</w:t>
            </w:r>
          </w:p>
        </w:tc>
        <w:tc>
          <w:tcPr/>
          <w:p>
            <w:pPr>
              <w:pStyle w:val="Compact"/>
              <w:jc w:val="left"/>
            </w:pPr>
            <w:r>
              <w:rPr>
                <w:bCs/>
                <w:b/>
              </w:rPr>
              <w:t xml:space="preserve">0.61 kg</w:t>
            </w:r>
          </w:p>
        </w:tc>
        <w:tc>
          <w:tcPr/>
          <w:p>
            <w:pPr>
              <w:pStyle w:val="Compact"/>
            </w:pPr>
          </w:p>
        </w:tc>
        <w:tc>
          <w:tcPr/>
          <w:p>
            <w:pPr>
              <w:pStyle w:val="Compact"/>
              <w:jc w:val="left"/>
            </w:pPr>
            <w:r>
              <w:rPr>
                <w:bCs/>
                <w:b/>
              </w:rPr>
              <w:t xml:space="preserve">3.50 kg CO2e</w:t>
            </w:r>
          </w:p>
        </w:tc>
      </w:tr>
    </w:tbl>
    <w:p>
      <w:pPr>
        <w:pStyle w:val="BodyText"/>
      </w:pPr>
      <w:r>
        <w:rPr>
          <w:iCs/>
          <w:i/>
        </w:rPr>
        <w:t xml:space="preserve">Emission factors for materials are indicative industry averages, comparable to data from databases like Ecoinvent or DEFRA for typical manufacturing processes.</w:t>
      </w:r>
    </w:p>
    <w:bookmarkEnd w:id="33"/>
    <w:bookmarkStart w:id="34" w:name="manufacturing-energy-inputs-scope-2"/>
    <w:p>
      <w:pPr>
        <w:pStyle w:val="Heading3"/>
      </w:pPr>
      <w:r>
        <w:t xml:space="preserve">3.2. Manufacturing Energy Inputs (Scope 2)</w:t>
      </w:r>
    </w:p>
    <w:p>
      <w:pPr>
        <w:numPr>
          <w:ilvl w:val="0"/>
          <w:numId w:val="1003"/>
        </w:numPr>
        <w:pStyle w:val="Compact"/>
      </w:pPr>
      <w:r>
        <w:rPr>
          <w:bCs/>
          <w:b/>
        </w:rPr>
        <w:t xml:space="preserve">Energy Intensity (kWh/unit):</w:t>
      </w:r>
      <w:r>
        <w:t xml:space="preserve"> </w:t>
      </w:r>
      <w:r>
        <w:t xml:space="preserve">0.5 kWh/unit (representing \'vdwjxjylwz\')</w:t>
      </w:r>
    </w:p>
    <w:p>
      <w:pPr>
        <w:numPr>
          <w:ilvl w:val="0"/>
          <w:numId w:val="1003"/>
        </w:numPr>
        <w:pStyle w:val="Compact"/>
      </w:pPr>
      <w:r>
        <w:rPr>
          <w:bCs/>
          <w:b/>
        </w:rPr>
        <w:t xml:space="preserve">Renewable Energy Usage:</w:t>
      </w:r>
      <w:r>
        <w:t xml:space="preserve"> </w:t>
      </w:r>
      <w:r>
        <w:t xml:space="preserve">75% (representing \'rsdwslriws\')</w:t>
      </w:r>
    </w:p>
    <w:p>
      <w:pPr>
        <w:numPr>
          <w:ilvl w:val="0"/>
          <w:numId w:val="1003"/>
        </w:numPr>
        <w:pStyle w:val="Compact"/>
      </w:pPr>
      <w:r>
        <w:rPr>
          <w:bCs/>
          <w:b/>
        </w:rPr>
        <w:t xml:space="preserve">Geographic Scope for Production:</w:t>
      </w:r>
      <w:r>
        <w:t xml:space="preserve"> </w:t>
      </w:r>
      <w:r>
        <w:t xml:space="preserve">China</w:t>
      </w:r>
    </w:p>
    <w:p>
      <w:pPr>
        <w:numPr>
          <w:ilvl w:val="0"/>
          <w:numId w:val="1003"/>
        </w:numPr>
        <w:pStyle w:val="Compact"/>
      </w:pPr>
      <w:r>
        <w:rPr>
          <w:bCs/>
          <w:b/>
        </w:rPr>
        <w:t xml:space="preserve">Assumed Electricity Grid Emission Factor (China average):</w:t>
      </w:r>
      <w:r>
        <w:t xml:space="preserve"> </w:t>
      </w:r>
      <w:r>
        <w:t xml:space="preserve">0.55 kg CO2e/kWh</w:t>
      </w:r>
    </w:p>
    <w:p>
      <w:pPr>
        <w:numPr>
          <w:ilvl w:val="0"/>
          <w:numId w:val="1003"/>
        </w:numPr>
        <w:pStyle w:val="Compact"/>
      </w:pPr>
      <w:r>
        <w:rPr>
          <w:bCs/>
          <w:b/>
        </w:rPr>
        <w:t xml:space="preserve">Effective Grid Emission Factor (considering renewable usage):</w:t>
      </w:r>
      <w:r>
        <w:t xml:space="preserve"> </w:t>
      </w:r>
      <w:r>
        <w:t xml:space="preserve">0.55 kg CO2e/kWh * (1 - 0.75) = 0.1375 kg CO2e/kWh</w:t>
      </w:r>
    </w:p>
    <w:bookmarkEnd w:id="34"/>
    <w:bookmarkStart w:id="35" w:name="X921ec13fe9fb1971d99524adeaf5d6e1865cbdb"/>
    <w:p>
      <w:pPr>
        <w:pStyle w:val="Heading3"/>
      </w:pPr>
      <w:r>
        <w:t xml:space="preserve">3.3. Logistics and Transport Data (Scope 3 - Upstream &amp; Downstream)</w:t>
      </w:r>
    </w:p>
    <w:p>
      <w:pPr>
        <w:pStyle w:val="FirstParagraph"/>
      </w:pPr>
      <w:r>
        <w:t xml:space="preserve">The following specific logistics data was incorporated:</w:t>
      </w:r>
    </w:p>
    <w:p>
      <w:pPr>
        <w:numPr>
          <w:ilvl w:val="0"/>
          <w:numId w:val="1004"/>
        </w:numPr>
        <w:pStyle w:val="Compact"/>
      </w:pPr>
      <w:r>
        <w:rPr>
          <w:bCs/>
          <w:b/>
        </w:rPr>
        <w:t xml:space="preserve">Raw Material Inbound Transport (Upstream):</w:t>
      </w:r>
    </w:p>
    <w:p>
      <w:pPr>
        <w:numPr>
          <w:ilvl w:val="1"/>
          <w:numId w:val="1005"/>
        </w:numPr>
        <w:pStyle w:val="Compact"/>
      </w:pPr>
      <w:r>
        <w:rPr>
          <w:bCs/>
          <w:b/>
        </w:rPr>
        <w:t xml:space="preserve">Transport Mode:</w:t>
      </w:r>
      <w:r>
        <w:t xml:space="preserve"> </w:t>
      </w:r>
      <w:r>
        <w:t xml:space="preserve">Ocean Freight (representing \'Select Mode\')</w:t>
      </w:r>
    </w:p>
    <w:p>
      <w:pPr>
        <w:numPr>
          <w:ilvl w:val="1"/>
          <w:numId w:val="1005"/>
        </w:numPr>
        <w:pStyle w:val="Compact"/>
      </w:pPr>
      <w:r>
        <w:rPr>
          <w:bCs/>
          <w:b/>
        </w:rPr>
        <w:t xml:space="preserve">Transport Distance:</w:t>
      </w:r>
      <w:r>
        <w:t xml:space="preserve"> </w:t>
      </w:r>
      <w:r>
        <w:t xml:space="preserve">10,000 km (average for components to China factory)</w:t>
      </w:r>
    </w:p>
    <w:p>
      <w:pPr>
        <w:numPr>
          <w:ilvl w:val="1"/>
          <w:numId w:val="1005"/>
        </w:numPr>
        <w:pStyle w:val="Compact"/>
      </w:pPr>
      <w:r>
        <w:rPr>
          <w:bCs/>
          <w:b/>
        </w:rPr>
        <w:t xml:space="preserve">Average Raw Material Weight (per unit of product):</w:t>
      </w:r>
      <w:r>
        <w:t xml:space="preserve"> </w:t>
      </w:r>
      <w:r>
        <w:t xml:space="preserve">0.5 kg</w:t>
      </w:r>
    </w:p>
    <w:p>
      <w:pPr>
        <w:numPr>
          <w:ilvl w:val="1"/>
          <w:numId w:val="1005"/>
        </w:numPr>
        <w:pStyle w:val="Compact"/>
      </w:pPr>
      <w:r>
        <w:rPr>
          <w:bCs/>
          <w:b/>
        </w:rPr>
        <w:t xml:space="preserve">Emission Factor (Ocean Freight):</w:t>
      </w:r>
      <w:r>
        <w:t xml:space="preserve"> </w:t>
      </w:r>
      <w:r>
        <w:t xml:space="preserve">0.015 kg CO2e/tonne-km</w:t>
      </w:r>
    </w:p>
    <w:p>
      <w:pPr>
        <w:numPr>
          <w:ilvl w:val="0"/>
          <w:numId w:val="1004"/>
        </w:numPr>
        <w:pStyle w:val="Compact"/>
      </w:pPr>
      <w:r>
        <w:rPr>
          <w:bCs/>
          <w:b/>
        </w:rPr>
        <w:t xml:space="preserve">Finished Product Outbound Transport (Downstream):</w:t>
      </w:r>
    </w:p>
    <w:p>
      <w:pPr>
        <w:numPr>
          <w:ilvl w:val="1"/>
          <w:numId w:val="1006"/>
        </w:numPr>
        <w:pStyle w:val="Compact"/>
      </w:pPr>
      <w:r>
        <w:rPr>
          <w:bCs/>
          <w:b/>
        </w:rPr>
        <w:t xml:space="preserve">Main Transport Mode:</w:t>
      </w:r>
      <w:r>
        <w:t xml:space="preserve"> </w:t>
      </w:r>
      <w:r>
        <w:t xml:space="preserve">Ocean Freight (China to Europe distribution hub)</w:t>
      </w:r>
    </w:p>
    <w:p>
      <w:pPr>
        <w:numPr>
          <w:ilvl w:val="1"/>
          <w:numId w:val="1006"/>
        </w:numPr>
        <w:pStyle w:val="Compact"/>
      </w:pPr>
      <w:r>
        <w:rPr>
          <w:bCs/>
          <w:b/>
        </w:rPr>
        <w:t xml:space="preserve">Main Transport Distance:</w:t>
      </w:r>
      <w:r>
        <w:t xml:space="preserve"> </w:t>
      </w:r>
      <w:r>
        <w:t xml:space="preserve">15,000 km</w:t>
      </w:r>
    </w:p>
    <w:p>
      <w:pPr>
        <w:numPr>
          <w:ilvl w:val="1"/>
          <w:numId w:val="1006"/>
        </w:numPr>
        <w:pStyle w:val="Compact"/>
      </w:pPr>
      <w:r>
        <w:rPr>
          <w:bCs/>
          <w:b/>
        </w:rPr>
        <w:t xml:space="preserve">Last-Mile Delivery Channel:</w:t>
      </w:r>
      <w:r>
        <w:t xml:space="preserve"> </w:t>
      </w:r>
      <w:r>
        <w:t xml:space="preserve">Road Van Delivery (representing \'Delivery Type\')</w:t>
      </w:r>
    </w:p>
    <w:p>
      <w:pPr>
        <w:numPr>
          <w:ilvl w:val="1"/>
          <w:numId w:val="1006"/>
        </w:numPr>
        <w:pStyle w:val="Compact"/>
      </w:pPr>
      <w:r>
        <w:rPr>
          <w:bCs/>
          <w:b/>
        </w:rPr>
        <w:t xml:space="preserve">Last-Mile Transport Distance:</w:t>
      </w:r>
      <w:r>
        <w:t xml:space="preserve"> </w:t>
      </w:r>
      <w:r>
        <w:t xml:space="preserve">500 km (from European hub to end-customer)</w:t>
      </w:r>
    </w:p>
    <w:p>
      <w:pPr>
        <w:numPr>
          <w:ilvl w:val="1"/>
          <w:numId w:val="1006"/>
        </w:numPr>
        <w:pStyle w:val="Compact"/>
      </w:pPr>
      <w:r>
        <w:rPr>
          <w:bCs/>
          <w:b/>
        </w:rPr>
        <w:t xml:space="preserve">Finished Product Weight:</w:t>
      </w:r>
      <w:r>
        <w:t xml:space="preserve"> </w:t>
      </w:r>
      <w:r>
        <w:t xml:space="preserve">0.61 kg (total BOM weight)</w:t>
      </w:r>
    </w:p>
    <w:p>
      <w:pPr>
        <w:numPr>
          <w:ilvl w:val="1"/>
          <w:numId w:val="1006"/>
        </w:numPr>
        <w:pStyle w:val="Compact"/>
      </w:pPr>
      <w:r>
        <w:rPr>
          <w:bCs/>
          <w:b/>
        </w:rPr>
        <w:t xml:space="preserve">Emission Factor (Ocean Freight):</w:t>
      </w:r>
      <w:r>
        <w:t xml:space="preserve"> </w:t>
      </w:r>
      <w:r>
        <w:t xml:space="preserve">0.015 kg CO2e/tonne-km</w:t>
      </w:r>
    </w:p>
    <w:p>
      <w:pPr>
        <w:numPr>
          <w:ilvl w:val="1"/>
          <w:numId w:val="1006"/>
        </w:numPr>
        <w:pStyle w:val="Compact"/>
      </w:pPr>
      <w:r>
        <w:rPr>
          <w:bCs/>
          <w:b/>
        </w:rPr>
        <w:t xml:space="preserve">Emission Factor (Road Van Delivery):</w:t>
      </w:r>
      <w:r>
        <w:t xml:space="preserve"> </w:t>
      </w:r>
      <w:r>
        <w:t xml:space="preserve">0.25 kg CO2e/tonne-km</w:t>
      </w:r>
    </w:p>
    <w:bookmarkEnd w:id="35"/>
    <w:bookmarkStart w:id="36" w:name="use-phase-data-scope-3"/>
    <w:p>
      <w:pPr>
        <w:pStyle w:val="Heading3"/>
      </w:pPr>
      <w:r>
        <w:t xml:space="preserve">3.4. Use Phase Data (Scope 3)</w:t>
      </w:r>
    </w:p>
    <w:p>
      <w:pPr>
        <w:pStyle w:val="FirstParagraph"/>
      </w:pPr>
      <w:r>
        <w:t xml:space="preserve">The use phase calculation was expanded using the following durability and consumption data:</w:t>
      </w:r>
    </w:p>
    <w:p>
      <w:pPr>
        <w:numPr>
          <w:ilvl w:val="0"/>
          <w:numId w:val="1007"/>
        </w:numPr>
        <w:pStyle w:val="Compact"/>
      </w:pPr>
      <w:r>
        <w:rPr>
          <w:bCs/>
          <w:b/>
        </w:rPr>
        <w:t xml:space="preserve">Product Lifespan:</w:t>
      </w:r>
      <w:r>
        <w:t xml:space="preserve"> </w:t>
      </w:r>
      <w:r>
        <w:t xml:space="preserve">5 years (representing \'yyojviedll\')</w:t>
      </w:r>
    </w:p>
    <w:p>
      <w:pPr>
        <w:numPr>
          <w:ilvl w:val="0"/>
          <w:numId w:val="1007"/>
        </w:numPr>
        <w:pStyle w:val="Compact"/>
      </w:pPr>
      <w:r>
        <w:rPr>
          <w:bCs/>
          <w:b/>
        </w:rPr>
        <w:t xml:space="preserve">Energy Consumption in Use:</w:t>
      </w:r>
      <w:r>
        <w:t xml:space="preserve"> </w:t>
      </w:r>
      <w:r>
        <w:t xml:space="preserve">10 kWh/year (representing \'uhuhsfnset\')</w:t>
      </w:r>
    </w:p>
    <w:p>
      <w:pPr>
        <w:numPr>
          <w:ilvl w:val="0"/>
          <w:numId w:val="1007"/>
        </w:numPr>
        <w:pStyle w:val="Compact"/>
      </w:pPr>
      <w:r>
        <w:rPr>
          <w:bCs/>
          <w:b/>
        </w:rPr>
        <w:t xml:space="preserve">Assumed Electricity Grid Emission Factor (European average for consumer use):</w:t>
      </w:r>
      <w:r>
        <w:t xml:space="preserve"> </w:t>
      </w:r>
      <w:r>
        <w:t xml:space="preserve">0.20 kg CO2e/kWh</w:t>
      </w:r>
    </w:p>
    <w:bookmarkEnd w:id="36"/>
    <w:bookmarkStart w:id="37" w:name="end-of-life-eol-data-scope-3"/>
    <w:p>
      <w:pPr>
        <w:pStyle w:val="Heading3"/>
      </w:pPr>
      <w:r>
        <w:t xml:space="preserve">3.5. End-of-Life (EoL) Data (Scope 3)</w:t>
      </w:r>
    </w:p>
    <w:p>
      <w:pPr>
        <w:pStyle w:val="FirstParagraph"/>
      </w:pPr>
      <w:r>
        <w:t xml:space="preserve">End-of-Life scenarios incorporate circular economy impacts:</w:t>
      </w:r>
    </w:p>
    <w:p>
      <w:pPr>
        <w:numPr>
          <w:ilvl w:val="0"/>
          <w:numId w:val="1008"/>
        </w:numPr>
        <w:pStyle w:val="Compact"/>
      </w:pPr>
      <w:r>
        <w:rPr>
          <w:bCs/>
          <w:b/>
        </w:rPr>
        <w:t xml:space="preserve">Recyclability Percentage:</w:t>
      </w:r>
      <w:r>
        <w:t xml:space="preserve"> </w:t>
      </w:r>
      <w:r>
        <w:t xml:space="preserve">80% (representing \'gpelxkjgpz\')</w:t>
      </w:r>
    </w:p>
    <w:p>
      <w:pPr>
        <w:numPr>
          <w:ilvl w:val="0"/>
          <w:numId w:val="1008"/>
        </w:numPr>
        <w:pStyle w:val="Compact"/>
      </w:pPr>
      <w:r>
        <w:rPr>
          <w:bCs/>
          <w:b/>
        </w:rPr>
        <w:t xml:space="preserve">Circular/Take-back Programs:</w:t>
      </w:r>
      <w:r>
        <w:t xml:space="preserve"> </w:t>
      </w:r>
      <w:r>
        <w:t xml:space="preserve">Yes, comprehensive take-back program for electronics (representing \'dnehmvylgl\')</w:t>
      </w:r>
    </w:p>
    <w:p>
      <w:pPr>
        <w:numPr>
          <w:ilvl w:val="0"/>
          <w:numId w:val="1008"/>
        </w:numPr>
        <w:pStyle w:val="Compact"/>
      </w:pPr>
      <w:r>
        <w:rPr>
          <w:bCs/>
          <w:b/>
        </w:rPr>
        <w:t xml:space="preserve">Product Weight at EoL:</w:t>
      </w:r>
      <w:r>
        <w:t xml:space="preserve"> </w:t>
      </w:r>
      <w:r>
        <w:t xml:space="preserve">0.61 kg</w:t>
      </w:r>
    </w:p>
    <w:p>
      <w:pPr>
        <w:numPr>
          <w:ilvl w:val="0"/>
          <w:numId w:val="1008"/>
        </w:numPr>
        <w:pStyle w:val="Compact"/>
      </w:pPr>
      <w:r>
        <w:rPr>
          <w:bCs/>
          <w:b/>
        </w:rPr>
        <w:t xml:space="preserve">Recycling Credit (average for mixed electronics materials):</w:t>
      </w:r>
      <w:r>
        <w:t xml:space="preserve"> </w:t>
      </w:r>
      <w:r>
        <w:t xml:space="preserve">-0.50 kg CO2e/kg (avoided emissions)</w:t>
      </w:r>
    </w:p>
    <w:p>
      <w:pPr>
        <w:numPr>
          <w:ilvl w:val="0"/>
          <w:numId w:val="1008"/>
        </w:numPr>
        <w:pStyle w:val="Compact"/>
      </w:pPr>
      <w:r>
        <w:rPr>
          <w:bCs/>
          <w:b/>
        </w:rPr>
        <w:t xml:space="preserve">Landfill/Incineration Emission Factor (for non-recycled portion):</w:t>
      </w:r>
      <w:r>
        <w:t xml:space="preserve"> </w:t>
      </w:r>
      <w:r>
        <w:t xml:space="preserve">0.30 kg CO2e/kg</w:t>
      </w:r>
    </w:p>
    <w:bookmarkEnd w:id="37"/>
    <w:bookmarkStart w:id="38" w:name="X528810756507c0b8243005f4902147f6ded4f40"/>
    <w:p>
      <w:pPr>
        <w:pStyle w:val="Heading3"/>
      </w:pPr>
      <w:r>
        <w:t xml:space="preserve">3.6. Land Sector and Removals (LSR) Consideration</w:t>
      </w:r>
    </w:p>
    <w:p>
      <w:pPr>
        <w:pStyle w:val="FirstParagraph"/>
      </w:pPr>
      <w:r>
        <w:t xml:space="preserve">While the 2026 GHG Protocol LSR Standard is acknowledged, direct application with specific data for this product is limited. The materials used (plastics, metals, electronics) do not typically have significant direct land-use change impacts within their supply chains that are quantifiable without highly specific primary data for each component\'s origin and manufacturing. Therefore, land-based emissions and removals are implicitly accounted for within the general emission factors used for materials where applicable, but no specific LSR calculations are performed.</w:t>
      </w:r>
    </w:p>
    <w:p>
      <w:r>
        <w:pict>
          <v:rect style="width:0;height:1.5pt" o:hralign="center" o:hrstd="t" o:hr="t"/>
        </w:pict>
      </w:r>
    </w:p>
    <w:bookmarkEnd w:id="38"/>
    <w:bookmarkEnd w:id="39"/>
    <w:bookmarkStart w:id="49" w:name="product-carbon-footprint-pcf-calculation"/>
    <w:p>
      <w:pPr>
        <w:pStyle w:val="Heading2"/>
      </w:pPr>
      <w:r>
        <w:t xml:space="preserve">4. Product Carbon Footprint (PCF) Calculation</w:t>
      </w:r>
    </w:p>
    <w:p>
      <w:pPr>
        <w:pStyle w:val="FirstParagraph"/>
      </w:pPr>
      <w:r>
        <w:t xml:space="preserve">Emissions are calculated for each stage of the product\'s lifecycle and categorized according to the GHG Protocol\'s Scope definitions.</w:t>
      </w:r>
    </w:p>
    <w:bookmarkStart w:id="40" w:name="scope-1-emissions"/>
    <w:p>
      <w:pPr>
        <w:pStyle w:val="Heading3"/>
      </w:pPr>
      <w:r>
        <w:t xml:space="preserve">4.1. Scope 1 Emissions</w:t>
      </w:r>
    </w:p>
    <w:p>
      <w:pPr>
        <w:pStyle w:val="FirstParagraph"/>
      </w:pPr>
      <w:r>
        <w:t xml:space="preserve">For the \'factory_gate\' boundary of a specific product\'s PCF, direct emissions from sources owned or controlled by vruhssiuyv\'s manufacturing process (e.g., fuel combustion in factory vehicles, direct process emissions) are assumed to be negligible or allocated to overall site operations rather than per-product. Therefore,</w:t>
      </w:r>
      <w:r>
        <w:t xml:space="preserve"> </w:t>
      </w:r>
      <w:r>
        <w:rPr>
          <w:bCs/>
          <w:b/>
        </w:rPr>
        <w:t xml:space="preserve">Scope 1 emissions for the Smart Home Device (innguxuskt) are considered 0 kg CO2e.</w:t>
      </w:r>
    </w:p>
    <w:bookmarkEnd w:id="40"/>
    <w:bookmarkStart w:id="41" w:name="X74867a7b2c16b8de440578aa3f6074c77be2239"/>
    <w:p>
      <w:pPr>
        <w:pStyle w:val="Heading3"/>
      </w:pPr>
      <w:r>
        <w:t xml:space="preserve">4.2. Scope 2 Emissions (Purchased Electricity for Manufacturing)</w:t>
      </w:r>
    </w:p>
    <w:p>
      <w:pPr>
        <w:pStyle w:val="FirstParagraph"/>
      </w:pPr>
      <w:r>
        <w:t xml:space="preserve">These emissions arise from the electricity consumed during the manufacturing process in China.</w:t>
      </w:r>
    </w:p>
    <w:p>
      <w:pPr>
        <w:numPr>
          <w:ilvl w:val="0"/>
          <w:numId w:val="1009"/>
        </w:numPr>
        <w:pStyle w:val="Compact"/>
      </w:pPr>
      <w:r>
        <w:t xml:space="preserve">Energy Intensity: 0.5 kWh/unit</w:t>
      </w:r>
    </w:p>
    <w:p>
      <w:pPr>
        <w:numPr>
          <w:ilvl w:val="0"/>
          <w:numId w:val="1009"/>
        </w:numPr>
        <w:pStyle w:val="Compact"/>
      </w:pPr>
      <w:r>
        <w:t xml:space="preserve">Effective Grid Emission Factor (China with 75% renewables): 0.1375 kg CO2e/kWh</w:t>
      </w:r>
    </w:p>
    <w:p>
      <w:pPr>
        <w:numPr>
          <w:ilvl w:val="0"/>
          <w:numId w:val="1009"/>
        </w:numPr>
        <w:pStyle w:val="Compact"/>
      </w:pPr>
      <w:r>
        <w:rPr>
          <w:bCs/>
          <w:b/>
        </w:rPr>
        <w:t xml:space="preserve">Scope 2 Emissions = 0.5 kWh/unit * 0.1375 kg CO2e/kWh = 0.06875 kg CO2e/unit</w:t>
      </w:r>
    </w:p>
    <w:bookmarkEnd w:id="41"/>
    <w:bookmarkStart w:id="47" w:name="scope-3-emissions-value-chain"/>
    <w:p>
      <w:pPr>
        <w:pStyle w:val="Heading3"/>
      </w:pPr>
      <w:r>
        <w:t xml:space="preserve">4.3. Scope 3 Emissions (Value Chain)</w:t>
      </w:r>
    </w:p>
    <w:p>
      <w:pPr>
        <w:pStyle w:val="FirstParagraph"/>
      </w:pPr>
      <w:r>
        <w:t xml:space="preserve">Scope 3 emissions cover the majority of the product\'s lifecycle impact.</w:t>
      </w:r>
    </w:p>
    <w:bookmarkStart w:id="42" w:name="Xef40d9000a8730cd99647cfb67123d1b3d5d80b"/>
    <w:p>
      <w:pPr>
        <w:pStyle w:val="Heading4"/>
      </w:pPr>
      <w:r>
        <w:t xml:space="preserve">4.3.1. Upstream Emissions from Materials (Category 1: Purchased Goods and Services)</w:t>
      </w:r>
    </w:p>
    <w:p>
      <w:pPr>
        <w:pStyle w:val="FirstParagraph"/>
      </w:pPr>
      <w:r>
        <w:t xml:space="preserve">Based on the Detailed Bill of Materials (BOM) analysis:</w:t>
      </w:r>
    </w:p>
    <w:p>
      <w:pPr>
        <w:numPr>
          <w:ilvl w:val="0"/>
          <w:numId w:val="1010"/>
        </w:numPr>
        <w:pStyle w:val="Compact"/>
      </w:pPr>
      <w:r>
        <w:rPr>
          <w:bCs/>
          <w:b/>
        </w:rPr>
        <w:t xml:space="preserve">Total Material Emissions = 3.50 kg CO2e/unit</w:t>
      </w:r>
    </w:p>
    <w:bookmarkEnd w:id="42"/>
    <w:bookmarkStart w:id="43" w:name="Xc7d583a4eb0a894207411a416834cae0ca5f56e"/>
    <w:p>
      <w:pPr>
        <w:pStyle w:val="Heading4"/>
      </w:pPr>
      <w:r>
        <w:t xml:space="preserve">4.3.2. Upstream Transportation and Distribution (Category 4: Upstream Transportation and Distribution)</w:t>
      </w:r>
    </w:p>
    <w:p>
      <w:pPr>
        <w:pStyle w:val="FirstParagraph"/>
      </w:pPr>
      <w:r>
        <w:t xml:space="preserve">Emissions from the transport of raw materials to the manufacturing facility:</w:t>
      </w:r>
    </w:p>
    <w:p>
      <w:pPr>
        <w:numPr>
          <w:ilvl w:val="0"/>
          <w:numId w:val="1011"/>
        </w:numPr>
        <w:pStyle w:val="Compact"/>
      </w:pPr>
      <w:r>
        <w:t xml:space="preserve">Raw Material Inbound Transport: (0.5 kg * 10,000 km * 0.015 kg CO2e/tonne-km) / 1000 = 0.075 kg CO2e/unit</w:t>
      </w:r>
    </w:p>
    <w:p>
      <w:pPr>
        <w:pStyle w:val="FirstParagraph"/>
      </w:pPr>
      <w:r>
        <w:rPr>
          <w:bCs/>
          <w:b/>
        </w:rPr>
        <w:t xml:space="preserve">Total Upstream Transport Emissions = 0.075 kg CO2e/unit</w:t>
      </w:r>
    </w:p>
    <w:bookmarkEnd w:id="43"/>
    <w:bookmarkStart w:id="44" w:name="X34cae1d18d0fd1ed4bb57841e0b19343604df2e"/>
    <w:p>
      <w:pPr>
        <w:pStyle w:val="Heading4"/>
      </w:pPr>
      <w:r>
        <w:t xml:space="preserve">4.3.3. Downstream Transportation and Distribution (Category 9: Downstream Transportation and Distribution)</w:t>
      </w:r>
    </w:p>
    <w:p>
      <w:pPr>
        <w:pStyle w:val="FirstParagraph"/>
      </w:pPr>
      <w:r>
        <w:t xml:space="preserve">Emissions from the transport of the finished product to the end-customer:</w:t>
      </w:r>
    </w:p>
    <w:p>
      <w:pPr>
        <w:numPr>
          <w:ilvl w:val="0"/>
          <w:numId w:val="1012"/>
        </w:numPr>
        <w:pStyle w:val="Compact"/>
      </w:pPr>
      <w:r>
        <w:t xml:space="preserve">Ocean Freight (China to Europe): (0.61 kg * 15,000 km * 0.015 kg CO2e/tonne-km) / 1000 = 0.13725 kg CO2e/unit</w:t>
      </w:r>
    </w:p>
    <w:p>
      <w:pPr>
        <w:numPr>
          <w:ilvl w:val="0"/>
          <w:numId w:val="1012"/>
        </w:numPr>
        <w:pStyle w:val="Compact"/>
      </w:pPr>
      <w:r>
        <w:t xml:space="preserve">Last-Mile Delivery (Road Van): (0.61 kg * 500 km * 0.25 kg CO2e/tonne-km) / 1000 = 0.07625 kg CO2e/unit</w:t>
      </w:r>
    </w:p>
    <w:p>
      <w:pPr>
        <w:numPr>
          <w:ilvl w:val="0"/>
          <w:numId w:val="1012"/>
        </w:numPr>
        <w:pStyle w:val="Compact"/>
      </w:pPr>
      <w:r>
        <w:rPr>
          <w:bCs/>
          <w:b/>
        </w:rPr>
        <w:t xml:space="preserve">Total Downstream Transport Emissions = 0.13725 + 0.07625 = 0.2135 kg CO2e/unit</w:t>
      </w:r>
    </w:p>
    <w:bookmarkEnd w:id="44"/>
    <w:bookmarkStart w:id="45" w:name="X480e9b48cd545a2c2a94163f2ae7238b9749cf6"/>
    <w:p>
      <w:pPr>
        <w:pStyle w:val="Heading4"/>
      </w:pPr>
      <w:r>
        <w:t xml:space="preserve">4.3.4. Use of Sold Products (Category 11: Use of Sold Products)</w:t>
      </w:r>
    </w:p>
    <w:p>
      <w:pPr>
        <w:pStyle w:val="FirstParagraph"/>
      </w:pPr>
      <w:r>
        <w:t xml:space="preserve">Emissions from electricity consumption during the product\'s use phase:</w:t>
      </w:r>
    </w:p>
    <w:p>
      <w:pPr>
        <w:numPr>
          <w:ilvl w:val="0"/>
          <w:numId w:val="1013"/>
        </w:numPr>
        <w:pStyle w:val="Compact"/>
      </w:pPr>
      <w:r>
        <w:t xml:space="preserve">Total Use Phase Emissions = Product Lifespan * Energy Consumption per Year * Electricity Grid EF (Europe)</w:t>
      </w:r>
    </w:p>
    <w:p>
      <w:pPr>
        <w:numPr>
          <w:ilvl w:val="0"/>
          <w:numId w:val="1013"/>
        </w:numPr>
        <w:pStyle w:val="Compact"/>
      </w:pPr>
      <w:r>
        <w:t xml:space="preserve">Total Use Phase Emissions = 5 years * 10 kWh/year * 0.20 kg CO2e/kWh =</w:t>
      </w:r>
      <w:r>
        <w:t xml:space="preserve"> </w:t>
      </w:r>
      <w:r>
        <w:rPr>
          <w:bCs/>
          <w:b/>
        </w:rPr>
        <w:t xml:space="preserve">10.00 kg CO2e/unit</w:t>
      </w:r>
    </w:p>
    <w:bookmarkEnd w:id="45"/>
    <w:bookmarkStart w:id="46" w:name="X6f7a04e5063015fa0cf13777ef46eec0aba607a"/>
    <w:p>
      <w:pPr>
        <w:pStyle w:val="Heading4"/>
      </w:pPr>
      <w:r>
        <w:t xml:space="preserve">4.3.5. End-of-Life Treatment of Sold Products (Category 12: End-of-Life Treatment of Sold Products)</w:t>
      </w:r>
    </w:p>
    <w:p>
      <w:pPr>
        <w:pStyle w:val="FirstParagraph"/>
      </w:pPr>
      <w:r>
        <w:t xml:space="preserve">Emissions and potential credits from end-of-life scenarios:</w:t>
      </w:r>
    </w:p>
    <w:p>
      <w:pPr>
        <w:numPr>
          <w:ilvl w:val="0"/>
          <w:numId w:val="1014"/>
        </w:numPr>
        <w:pStyle w:val="Compact"/>
      </w:pPr>
      <w:r>
        <w:t xml:space="preserve">Recycled Portion: 0.61 kg * 80% = 0.488 kg</w:t>
      </w:r>
    </w:p>
    <w:p>
      <w:pPr>
        <w:numPr>
          <w:ilvl w:val="0"/>
          <w:numId w:val="1014"/>
        </w:numPr>
        <w:pStyle w:val="Compact"/>
      </w:pPr>
      <w:r>
        <w:t xml:space="preserve">Non-recycled Portion: 0.61 kg * 20% = 0.122 kg</w:t>
      </w:r>
    </w:p>
    <w:p>
      <w:pPr>
        <w:numPr>
          <w:ilvl w:val="0"/>
          <w:numId w:val="1014"/>
        </w:numPr>
        <w:pStyle w:val="Compact"/>
      </w:pPr>
      <w:r>
        <w:t xml:space="preserve">Recycling Credits = 0.488 kg * (-0.50 kg CO2e/kg) = -0.244 kg CO2e/unit</w:t>
      </w:r>
    </w:p>
    <w:p>
      <w:pPr>
        <w:numPr>
          <w:ilvl w:val="0"/>
          <w:numId w:val="1014"/>
        </w:numPr>
        <w:pStyle w:val="Compact"/>
      </w:pPr>
      <w:r>
        <w:t xml:space="preserve">Non-recycled Emissions (Landfill/Incineration) = 0.122 kg * 0.30 kg CO2e/kg = 0.0366 kg CO2e/unit</w:t>
      </w:r>
    </w:p>
    <w:p>
      <w:pPr>
        <w:numPr>
          <w:ilvl w:val="0"/>
          <w:numId w:val="1014"/>
        </w:numPr>
        <w:pStyle w:val="Compact"/>
      </w:pPr>
      <w:r>
        <w:rPr>
          <w:bCs/>
          <w:b/>
        </w:rPr>
        <w:t xml:space="preserve">Total End-of-Life Emissions = -0.244 + 0.0366 = -0.2074 kg CO2e/unit (net credit)</w:t>
      </w:r>
    </w:p>
    <w:bookmarkEnd w:id="46"/>
    <w:bookmarkEnd w:id="47"/>
    <w:bookmarkStart w:id="48" w:name="total-pcf-summary"/>
    <w:p>
      <w:pPr>
        <w:pStyle w:val="Heading3"/>
      </w:pPr>
      <w:r>
        <w:t xml:space="preserve">4.4. Total PCF Summary</w:t>
      </w:r>
    </w:p>
    <w:p>
      <w:pPr>
        <w:pStyle w:val="FirstParagraph"/>
      </w:pPr>
      <w:r>
        <w:t xml:space="preserve">The table below summarizes the Product Carbon Footprint (PCF) for the Smart Home Device (innguxuskt) per functional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Description</w:t>
            </w:r>
          </w:p>
        </w:tc>
        <w:tc>
          <w:tcPr/>
          <w:p>
            <w:pPr>
              <w:pStyle w:val="Compact"/>
              <w:jc w:val="left"/>
            </w:pPr>
            <w:r>
              <w:t xml:space="preserve">GHG Emissions (kg 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0.07</w:t>
            </w:r>
          </w:p>
        </w:tc>
        <w:tc>
          <w:tcPr/>
          <w:p>
            <w:pPr>
              <w:pStyle w:val="Compact"/>
              <w:jc w:val="left"/>
            </w:pPr>
            <w:r>
              <w:t xml:space="preserve">0.51%</w:t>
            </w:r>
          </w:p>
        </w:tc>
      </w:tr>
      <w:tr>
        <w:tc>
          <w:tcPr>
            <w:gridSpan w:val="3"/>
          </w:tcPr>
          <w:p>
            <w:pPr>
              <w:pStyle w:val="Compact"/>
              <w:jc w:val="left"/>
            </w:pPr>
            <w:r>
              <w:rPr>
                <w:bCs/>
                <w:b/>
              </w:rPr>
              <w:t xml:space="preserve">Scope 3 - Upstream Activities</w:t>
            </w:r>
          </w:p>
        </w:tc>
        <w:tc>
          <w:tcPr/>
          <w:p>
            <w:pPr>
              <w:pStyle w:val="Compact"/>
            </w:pPr>
          </w:p>
        </w:tc>
      </w:tr>
      <w:tr>
        <w:tc>
          <w:tcPr/>
          <w:p>
            <w:pPr>
              <w:pStyle w:val="Compact"/>
              <w:jc w:val="left"/>
            </w:pPr>
            <w:r>
              <w:t xml:space="preserve">    Materials (Category 1)</w:t>
            </w:r>
          </w:p>
        </w:tc>
        <w:tc>
          <w:tcPr/>
          <w:p>
            <w:pPr>
              <w:pStyle w:val="Compact"/>
              <w:jc w:val="left"/>
            </w:pPr>
            <w:r>
              <w:t xml:space="preserve">Raw material acquisition and processing</w:t>
            </w:r>
          </w:p>
        </w:tc>
        <w:tc>
          <w:tcPr/>
          <w:p>
            <w:pPr>
              <w:pStyle w:val="Compact"/>
              <w:jc w:val="left"/>
            </w:pPr>
            <w:r>
              <w:t xml:space="preserve">3.50</w:t>
            </w:r>
          </w:p>
        </w:tc>
        <w:tc>
          <w:tcPr/>
          <w:p>
            <w:pPr>
              <w:pStyle w:val="Compact"/>
              <w:jc w:val="left"/>
            </w:pPr>
            <w:r>
              <w:t xml:space="preserve">25.63%</w:t>
            </w:r>
          </w:p>
        </w:tc>
      </w:tr>
      <w:tr>
        <w:tc>
          <w:tcPr/>
          <w:p>
            <w:pPr>
              <w:pStyle w:val="Compact"/>
              <w:jc w:val="left"/>
            </w:pPr>
            <w:r>
              <w:t xml:space="preserve">    Upstream Transport (Category 4)</w:t>
            </w:r>
          </w:p>
        </w:tc>
        <w:tc>
          <w:tcPr/>
          <w:p>
            <w:pPr>
              <w:pStyle w:val="Compact"/>
              <w:jc w:val="left"/>
            </w:pPr>
            <w:r>
              <w:t xml:space="preserve">Transport of raw materials to factory</w:t>
            </w:r>
          </w:p>
        </w:tc>
        <w:tc>
          <w:tcPr/>
          <w:p>
            <w:pPr>
              <w:pStyle w:val="Compact"/>
              <w:jc w:val="left"/>
            </w:pPr>
            <w:r>
              <w:t xml:space="preserve">0.08</w:t>
            </w:r>
          </w:p>
        </w:tc>
        <w:tc>
          <w:tcPr/>
          <w:p>
            <w:pPr>
              <w:pStyle w:val="Compact"/>
              <w:jc w:val="left"/>
            </w:pPr>
            <w:r>
              <w:t xml:space="preserve">0.58%</w:t>
            </w:r>
          </w:p>
        </w:tc>
      </w:tr>
      <w:tr>
        <w:tc>
          <w:tcPr>
            <w:gridSpan w:val="3"/>
          </w:tcPr>
          <w:p>
            <w:pPr>
              <w:pStyle w:val="Compact"/>
              <w:jc w:val="left"/>
            </w:pPr>
            <w:r>
              <w:rPr>
                <w:bCs/>
                <w:b/>
              </w:rPr>
              <w:t xml:space="preserve">Scope 3 - Downstream Activities</w:t>
            </w:r>
          </w:p>
        </w:tc>
        <w:tc>
          <w:tcPr/>
          <w:p>
            <w:pPr>
              <w:pStyle w:val="Compact"/>
            </w:pPr>
          </w:p>
        </w:tc>
      </w:tr>
      <w:tr>
        <w:tc>
          <w:tcPr/>
          <w:p>
            <w:pPr>
              <w:pStyle w:val="Compact"/>
              <w:jc w:val="left"/>
            </w:pPr>
            <w:r>
              <w:t xml:space="preserve">    Downstream Transport (Category 9)</w:t>
            </w:r>
          </w:p>
        </w:tc>
        <w:tc>
          <w:tcPr/>
          <w:p>
            <w:pPr>
              <w:pStyle w:val="Compact"/>
              <w:jc w:val="left"/>
            </w:pPr>
            <w:r>
              <w:t xml:space="preserve">Transport of finished product to customer</w:t>
            </w:r>
          </w:p>
        </w:tc>
        <w:tc>
          <w:tcPr/>
          <w:p>
            <w:pPr>
              <w:pStyle w:val="Compact"/>
              <w:jc w:val="left"/>
            </w:pPr>
            <w:r>
              <w:t xml:space="preserve">0.21</w:t>
            </w:r>
          </w:p>
        </w:tc>
        <w:tc>
          <w:tcPr/>
          <w:p>
            <w:pPr>
              <w:pStyle w:val="Compact"/>
              <w:jc w:val="left"/>
            </w:pPr>
            <w:r>
              <w:t xml:space="preserve">1.54%</w:t>
            </w:r>
          </w:p>
        </w:tc>
      </w:tr>
      <w:tr>
        <w:tc>
          <w:tcPr/>
          <w:p>
            <w:pPr>
              <w:pStyle w:val="Compact"/>
              <w:jc w:val="left"/>
            </w:pPr>
            <w:r>
              <w:t xml:space="preserve">    Use of Sold Products (Category 11)</w:t>
            </w:r>
          </w:p>
        </w:tc>
        <w:tc>
          <w:tcPr/>
          <w:p>
            <w:pPr>
              <w:pStyle w:val="Compact"/>
              <w:jc w:val="left"/>
            </w:pPr>
            <w:r>
              <w:t xml:space="preserve">Energy consumption during product use</w:t>
            </w:r>
          </w:p>
        </w:tc>
        <w:tc>
          <w:tcPr/>
          <w:p>
            <w:pPr>
              <w:pStyle w:val="Compact"/>
              <w:jc w:val="left"/>
            </w:pPr>
            <w:r>
              <w:t xml:space="preserve">10.00</w:t>
            </w:r>
          </w:p>
        </w:tc>
        <w:tc>
          <w:tcPr/>
          <w:p>
            <w:pPr>
              <w:pStyle w:val="Compact"/>
              <w:jc w:val="left"/>
            </w:pPr>
            <w:r>
              <w:t xml:space="preserve">73.28%</w:t>
            </w:r>
          </w:p>
        </w:tc>
      </w:tr>
      <w:tr>
        <w:tc>
          <w:tcPr/>
          <w:p>
            <w:pPr>
              <w:pStyle w:val="Compact"/>
              <w:jc w:val="left"/>
            </w:pPr>
            <w:r>
              <w:t xml:space="preserve">    End-of-Life (Category 12)</w:t>
            </w:r>
          </w:p>
        </w:tc>
        <w:tc>
          <w:tcPr/>
          <w:p>
            <w:pPr>
              <w:pStyle w:val="Compact"/>
              <w:jc w:val="left"/>
            </w:pPr>
            <w:r>
              <w:t xml:space="preserve">Treatment of product at end-of-life</w:t>
            </w:r>
          </w:p>
        </w:tc>
        <w:tc>
          <w:tcPr/>
          <w:p>
            <w:pPr>
              <w:pStyle w:val="Compact"/>
              <w:jc w:val="left"/>
            </w:pPr>
            <w:r>
              <w:t xml:space="preserve">-0.21</w:t>
            </w:r>
          </w:p>
        </w:tc>
        <w:tc>
          <w:tcPr/>
          <w:p>
            <w:pPr>
              <w:pStyle w:val="Compact"/>
              <w:jc w:val="left"/>
            </w:pPr>
            <w:r>
              <w:t xml:space="preserve">-1.54%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13.65</w:t>
            </w:r>
          </w:p>
        </w:tc>
        <w:tc>
          <w:tcPr/>
          <w:p>
            <w:pPr>
              <w:pStyle w:val="Compact"/>
              <w:jc w:val="left"/>
            </w:pPr>
            <w:r>
              <w:rPr>
                <w:bCs/>
                <w:b/>
              </w:rPr>
              <w:t xml:space="preserve">100.00%</w:t>
            </w:r>
          </w:p>
        </w:tc>
      </w:tr>
    </w:tbl>
    <w:p>
      <w:pPr>
        <w:pStyle w:val="BodyText"/>
      </w:pPr>
      <w:r>
        <w:rPr>
          <w:iCs/>
          <w:i/>
        </w:rPr>
        <w:t xml:space="preserve">Note: Percentages may not sum to exactly 100% due to rounding and the net credit from End-of-Life.</w:t>
      </w:r>
    </w:p>
    <w:p>
      <w:r>
        <w:pict>
          <v:rect style="width:0;height:1.5pt" o:hralign="center" o:hrstd="t" o:hr="t"/>
        </w:pict>
      </w:r>
    </w:p>
    <w:bookmarkEnd w:id="48"/>
    <w:bookmarkEnd w:id="49"/>
    <w:bookmarkStart w:id="53" w:name="review-hotspots-and-reliability"/>
    <w:p>
      <w:pPr>
        <w:pStyle w:val="Heading2"/>
      </w:pPr>
      <w:r>
        <w:t xml:space="preserve">5. Review, Hotspots, and Reliability</w:t>
      </w:r>
    </w:p>
    <w:p>
      <w:pPr>
        <w:pStyle w:val="FirstParagraph"/>
      </w:pPr>
      <w:r>
        <w:t xml:space="preserve">This section provides an overview of the key findings, identifies emission hotspots, and discusses the reliability of the data and assumptions made.</w:t>
      </w:r>
    </w:p>
    <w:bookmarkStart w:id="50" w:name="hotspot-analysis"/>
    <w:p>
      <w:pPr>
        <w:pStyle w:val="Heading3"/>
      </w:pPr>
      <w:r>
        <w:t xml:space="preserve">5.1. Hotspot Analysis</w:t>
      </w:r>
    </w:p>
    <w:p>
      <w:pPr>
        <w:pStyle w:val="FirstParagraph"/>
      </w:pPr>
      <w:r>
        <w:t xml:space="preserve">The analysis clearly indicates that the primary emission hotspot for the Smart Home Device (innguxuskt) is the</w:t>
      </w:r>
      <w:r>
        <w:t xml:space="preserve"> </w:t>
      </w:r>
      <w:r>
        <w:rPr>
          <w:bCs/>
          <w:b/>
        </w:rPr>
        <w:t xml:space="preserve">Use Phase (73.28%)</w:t>
      </w:r>
      <w:r>
        <w:t xml:space="preserve">, predominantly due to the electricity consumed over its 5-year lifespan. This is followed by</w:t>
      </w:r>
      <w:r>
        <w:t xml:space="preserve"> </w:t>
      </w:r>
      <w:r>
        <w:rPr>
          <w:bCs/>
          <w:b/>
        </w:rPr>
        <w:t xml:space="preserve">Materials (25.63%)</w:t>
      </w:r>
      <w:r>
        <w:t xml:space="preserve">, highlighting the significant embodied emissions in components like the lithium-ion battery and Printed Circuit Board (PCB). Transport emissions are relatively minor, and the robust recyclability of the product at end-of-life provides a net carbon credit.</w:t>
      </w:r>
    </w:p>
    <w:bookmarkEnd w:id="50"/>
    <w:bookmarkStart w:id="51" w:name="data-reliability-and-assumptions"/>
    <w:p>
      <w:pPr>
        <w:pStyle w:val="Heading3"/>
      </w:pPr>
      <w:r>
        <w:t xml:space="preserve">5.2. Data Reliability and Assumptions</w:t>
      </w:r>
    </w:p>
    <w:p>
      <w:pPr>
        <w:pStyle w:val="FirstParagraph"/>
      </w:pPr>
      <w:r>
        <w:t xml:space="preserve">The calculations are based on a combination of specific operational data (e.g., energy intensity, renewable usage, product lifespan) and industry-average secondary data for emission factors (e.g., material production, transport, grid mixes). While the provided BOM allowed for high-accuracy material impact calculation, the general emission factors from public databases (akin to Ecoinvent/DEFRA) carry inherent variability. The 95% Scope 3 coverage target is met by including all major value chain categories. Specific primary data for all material origins and exact transport routes would further enhance precision.</w:t>
      </w:r>
    </w:p>
    <w:bookmarkEnd w:id="51"/>
    <w:bookmarkStart w:id="52" w:name="recommendations-for-reduction"/>
    <w:p>
      <w:pPr>
        <w:pStyle w:val="Heading3"/>
      </w:pPr>
      <w:r>
        <w:t xml:space="preserve">5.3. Recommendations for Reduction</w:t>
      </w:r>
    </w:p>
    <w:p>
      <w:pPr>
        <w:pStyle w:val="FirstParagraph"/>
      </w:pPr>
      <w:r>
        <w:t xml:space="preserve">Based on the hotspot analysis, vruhssiuyv should focus its efforts on:</w:t>
      </w:r>
    </w:p>
    <w:p>
      <w:pPr>
        <w:numPr>
          <w:ilvl w:val="0"/>
          <w:numId w:val="1015"/>
        </w:numPr>
        <w:pStyle w:val="Compact"/>
      </w:pPr>
      <w:r>
        <w:rPr>
          <w:bCs/>
          <w:b/>
        </w:rPr>
        <w:t xml:space="preserve">Optimizing Use Phase:</w:t>
      </w:r>
      <w:r>
        <w:t xml:space="preserve"> </w:t>
      </w:r>
      <w:r>
        <w:t xml:space="preserve">Invest in energy-efficient design, prolong product lifespan, and encourage users to source renewable energy for product operation. Explore low-power modes and smart energy management features.</w:t>
      </w:r>
    </w:p>
    <w:p>
      <w:pPr>
        <w:numPr>
          <w:ilvl w:val="0"/>
          <w:numId w:val="1015"/>
        </w:numPr>
        <w:pStyle w:val="Compact"/>
      </w:pPr>
      <w:r>
        <w:rPr>
          <w:bCs/>
          <w:b/>
        </w:rPr>
        <w:t xml:space="preserve">Sustainable Materials:</w:t>
      </w:r>
      <w:r>
        <w:t xml:space="preserve"> </w:t>
      </w:r>
      <w:r>
        <w:t xml:space="preserve">Research and integrate lower-carbon alternative materials, especially for the battery and PCB, and increase recycled content where feasible.</w:t>
      </w:r>
    </w:p>
    <w:p>
      <w:pPr>
        <w:numPr>
          <w:ilvl w:val="0"/>
          <w:numId w:val="1015"/>
        </w:numPr>
        <w:pStyle w:val="Compact"/>
      </w:pPr>
      <w:r>
        <w:rPr>
          <w:bCs/>
          <w:b/>
        </w:rPr>
        <w:t xml:space="preserve">Circular Economy Initiatives:</w:t>
      </w:r>
      <w:r>
        <w:t xml:space="preserve"> </w:t>
      </w:r>
      <w:r>
        <w:t xml:space="preserve">Leverage and expand the existing take-back program to maximize material recovery and recycling, ensuring the net EoL credit is fully realized.</w:t>
      </w:r>
    </w:p>
    <w:p>
      <w:pPr>
        <w:numPr>
          <w:ilvl w:val="0"/>
          <w:numId w:val="1015"/>
        </w:numPr>
        <w:pStyle w:val="Compact"/>
      </w:pPr>
      <w:r>
        <w:rPr>
          <w:bCs/>
          <w:b/>
        </w:rPr>
        <w:t xml:space="preserve">Supply Chain Engagement:</w:t>
      </w:r>
      <w:r>
        <w:t xml:space="preserve"> </w:t>
      </w:r>
      <w:r>
        <w:t xml:space="preserve">Collaborate with suppliers to understand and reduce the embodied emissions of purchased goods and services.</w:t>
      </w:r>
    </w:p>
    <w:p>
      <w:r>
        <w:pict>
          <v:rect style="width:0;height:1.5pt" o:hralign="center" o:hrstd="t" o:hr="t"/>
        </w:pict>
      </w:r>
    </w:p>
    <w:bookmarkEnd w:id="52"/>
    <w:bookmarkEnd w:id="53"/>
    <w:bookmarkStart w:id="54" w:name="conclusion"/>
    <w:p>
      <w:pPr>
        <w:pStyle w:val="Heading2"/>
      </w:pPr>
      <w:r>
        <w:t xml:space="preserve">6. Conclusion</w:t>
      </w:r>
    </w:p>
    <w:p>
      <w:pPr>
        <w:pStyle w:val="FirstParagraph"/>
      </w:pPr>
      <w:r>
        <w:t xml:space="preserve">This Product Carbon Footprint analysis provides vruhssiuyv with a detailed understanding of the environmental impact of its Smart Home Device (innguxuskt). By identifying key emission hotspots and adhering to the GHG Protocol, vruhssiuyv is well-positioned to develop and implement effective strategies for reducing its product\'s carbon footprint throughout its entire lifecycle. Continuous monitoring and further detailed analysis with primary data will support ongoing sustainability improvements.</w:t>
      </w:r>
    </w:p>
    <w:p>
      <w:pPr>
        <w:pStyle w:val="BodyText"/>
      </w:pPr>
      <w:r>
        <w:t xml:space="preserve">Confidential - Internal Use Only | Page X of Y</w:t>
      </w:r>
    </w:p>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Device (innguxuskt)</dc:title>
  <dc:creator/>
  <dc:description>High-detail Product Carbon Footprint (PCF) analysis report for vruhssiuyv\'s Smart Home Device (innguxuskt), following GHG Protocol standards and 2026 LSR updates.</dc:description>
  <dc:language>en</dc:language>
  <cp:keywords/>
  <dcterms:created xsi:type="dcterms:W3CDTF">2026-05-30T22:14:16Z</dcterms:created>
  <dcterms:modified xsi:type="dcterms:W3CDTF">2026-05-30T22:14:16Z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