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Controller</w:t>
      </w:r>
      <w:r>
        <w:t xml:space="preserve"> </w:t>
      </w:r>
      <w:r>
        <w:t xml:space="preserve">(udwwzxvtsj)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Smart Home Controller (udwwzxvtsj)</w:t>
      </w:r>
    </w:p>
    <w:p>
      <w:pPr>
        <w:pStyle w:val="BodyText"/>
      </w:pPr>
      <w:r>
        <w:t xml:space="preserve">**Company Name:** mrpjkzxxvv</w:t>
      </w:r>
    </w:p>
    <w:p>
      <w:pPr>
        <w:pStyle w:val="BodyText"/>
      </w:pPr>
      <w:r>
        <w:t xml:space="preserve">**Senior Sustainability Consultant:** qsoeiooosh</w:t>
      </w:r>
    </w:p>
    <w:p>
      <w:pPr>
        <w:pStyle w:val="BodyText"/>
      </w:pPr>
      <w:r>
        <w:t xml:space="preserve">**Protocol Data (Accounting Standard):** GHG Protocol</w:t>
      </w:r>
    </w:p>
    <w:p>
      <w:pPr>
        <w:pStyle w:val="BodyText"/>
      </w:pPr>
      <w:r>
        <w:t xml:space="preserve">Disclaimer: This report is generated based on available data and industry standards, providing an estimate of the product\'s carbon footprint. Actual emissions may vary.</w:t>
      </w:r>
    </w:p>
    <w:bookmarkEnd w:id="20"/>
    <w:p>
      <w:pPr>
        <w:pStyle w:val="BodyText"/>
      </w:pPr>
      <w:r>
        <w:t xml:space="preserve">Product Carbon Footprint Analysis for Smart Home Controller (udwwzxvtsj)</w:t>
      </w:r>
    </w:p>
    <w:p>
      <w:pPr>
        <w:pStyle w:val="BodyText"/>
      </w:pPr>
      <w:r>
        <w:t xml:space="preserve">Generated Date: May 22, 2026</w:t>
      </w:r>
    </w:p>
    <w:p>
      <w:r>
        <w:pict>
          <v:rect style="width:0;height:1.5pt" o:hralign="center" o:hrstd="t" o:hr="t"/>
        </w:pict>
      </w:r>
    </w:p>
    <w:bookmarkStart w:id="21" w:name="executive-summary"/>
    <w:p>
      <w:pPr>
        <w:pStyle w:val="Heading1"/>
      </w:pPr>
      <w:r>
        <w:t xml:space="preserve">Executive Summary</w:t>
      </w:r>
    </w:p>
    <w:p>
      <w:pPr>
        <w:pStyle w:val="FirstParagraph"/>
      </w:pPr>
      <w:r>
        <w:t xml:space="preserve">This report presents a high-detail Product Carbon Footprint (PCF) analysis for the Smart Home Controller (product identifier: udwwzxvtsj) manufactured by mrpjkzxxvv. The analysis was conducted by Senior Sustainability Consultant qsoeiooosh, adhering strictly to the GHG Protocol accounting standard, including the 2026 Land Sector and Removals (LSR) update and ensuring over 95% Scope 3 coverage. The primary goal is to quantify the greenhouse gas emissions associated with the product across its entire lifecycle, identify emission hotspots, and provide actionable insights for sustainability improvements. The functional unit for this analysis is 1.0 unit of the Smart Home Controller, with a system boundary defined at \'factory_gate\' for initial assessment and then expanded to cover the full lifecycle.</w:t>
      </w:r>
    </w:p>
    <w:p>
      <w:r>
        <w:pict>
          <v:rect style="width:0;height:1.5pt" o:hralign="center" o:hrstd="t" o:hr="t"/>
        </w:pict>
      </w:r>
    </w:p>
    <w:bookmarkEnd w:id="21"/>
    <w:bookmarkStart w:id="22" w:name="methodology"/>
    <w:p>
      <w:pPr>
        <w:pStyle w:val="Heading1"/>
      </w:pPr>
      <w:r>
        <w:t xml:space="preserve">1. Methodology</w:t>
      </w:r>
    </w:p>
    <w:p>
      <w:pPr>
        <w:pStyle w:val="FirstParagraph"/>
      </w:pPr>
      <w:r>
        <w:t xml:space="preserve">The Product Carbon Footprint (PCF) analysis for the Smart Home Controller (udwwzxvtsj) follows a five-step methodology in accordance with GHG Protocol standards:</w:t>
      </w:r>
    </w:p>
    <w:p>
      <w:pPr>
        <w:numPr>
          <w:ilvl w:val="0"/>
          <w:numId w:val="1001"/>
        </w:numPr>
        <w:pStyle w:val="Compact"/>
      </w:pPr>
      <w:r>
        <w:t xml:space="preserve">**Define Scope:** Establishing the functional unit, system boundaries, geographic scope, and allocation rules.</w:t>
      </w:r>
    </w:p>
    <w:p>
      <w:pPr>
        <w:numPr>
          <w:ilvl w:val="0"/>
          <w:numId w:val="1001"/>
        </w:numPr>
        <w:pStyle w:val="Compact"/>
      </w:pPr>
      <w:r>
        <w:t xml:space="preserve">**Map Lifecycle (LCI Inventory Stages):** Detailing all relevant processes and stages from raw material extraction to end-of-life.</w:t>
      </w:r>
    </w:p>
    <w:p>
      <w:pPr>
        <w:numPr>
          <w:ilvl w:val="0"/>
          <w:numId w:val="1001"/>
        </w:numPr>
        <w:pStyle w:val="Compact"/>
      </w:pPr>
      <w:r>
        <w:t xml:space="preserve">**Collect Data:** Gathering primary activity data and utilizing secondary data (industry-standard emission factors) where primary data is unavailable.</w:t>
      </w:r>
    </w:p>
    <w:p>
      <w:pPr>
        <w:numPr>
          <w:ilvl w:val="0"/>
          <w:numId w:val="1001"/>
        </w:numPr>
        <w:pStyle w:val="Compact"/>
      </w:pPr>
      <w:r>
        <w:t xml:space="preserve">**Calculate Emissions:** Quantifying emissions by multiplying activity data with corresponding emission factors to derive CO2e values.</w:t>
      </w:r>
    </w:p>
    <w:p>
      <w:pPr>
        <w:numPr>
          <w:ilvl w:val="0"/>
          <w:numId w:val="1001"/>
        </w:numPr>
        <w:pStyle w:val="Compact"/>
      </w:pPr>
      <w:r>
        <w:t xml:space="preserve">**Review &amp; Report:** Identifying emission hotspots, assessing data reliability, and presenting the findings.</w:t>
      </w:r>
    </w:p>
    <w:p>
      <w:pPr>
        <w:pStyle w:val="FirstParagraph"/>
      </w:pPr>
      <w:r>
        <w:t xml:space="preserve">The analysis categorizes emissions into Scope 1 (direct emissions from owned or controlled sources), Scope 2 (indirect emissions from purchased electricity, steam, heating, and cooling), and Scope 3 (all other indirect emissions in the value chain, both upstream and downstream). For this PCF, the focus is heavily on Scope 3, ensuring at least 95% coverage in line with 2026 GHG Protocol requirements. The Land Sector and Removals (LSR) Standard (2026 update) is applied, implicitly considering land use changes associated with raw material extraction within the chosen emission factors, where applicable.</w:t>
      </w:r>
    </w:p>
    <w:p>
      <w:r>
        <w:pict>
          <v:rect style="width:0;height:1.5pt" o:hralign="center" o:hrstd="t" o:hr="t"/>
        </w:pict>
      </w:r>
    </w:p>
    <w:bookmarkEnd w:id="22"/>
    <w:bookmarkStart w:id="27" w:name="scope-definition"/>
    <w:p>
      <w:pPr>
        <w:pStyle w:val="Heading1"/>
      </w:pPr>
      <w:r>
        <w:t xml:space="preserve">2. Scope Definition</w:t>
      </w:r>
    </w:p>
    <w:bookmarkStart w:id="23" w:name="functional-unit"/>
    <w:p>
      <w:pPr>
        <w:pStyle w:val="Heading3"/>
      </w:pPr>
      <w:r>
        <w:t xml:space="preserve">2.1 Functional Unit</w:t>
      </w:r>
    </w:p>
    <w:p>
      <w:pPr>
        <w:pStyle w:val="FirstParagraph"/>
      </w:pPr>
      <w:r>
        <w:t xml:space="preserve">The functional unit for this Product Carbon Footprint analysis is</w:t>
      </w:r>
      <w:r>
        <w:t xml:space="preserve"> </w:t>
      </w:r>
      <w:r>
        <w:rPr>
          <w:bCs/>
          <w:b/>
        </w:rPr>
        <w:t xml:space="preserve">1.0 unit of the Smart Home Controller (udwwzxvtsj)</w:t>
      </w:r>
      <w:r>
        <w:t xml:space="preserve">. All emissions are calculated per functional unit.</w:t>
      </w:r>
    </w:p>
    <w:bookmarkEnd w:id="23"/>
    <w:bookmarkStart w:id="24" w:name="system-boundary"/>
    <w:p>
      <w:pPr>
        <w:pStyle w:val="Heading3"/>
      </w:pPr>
      <w:r>
        <w:t xml:space="preserve">2.2 System Boundary</w:t>
      </w:r>
    </w:p>
    <w:p>
      <w:pPr>
        <w:pStyle w:val="FirstParagraph"/>
      </w:pPr>
      <w:r>
        <w:t xml:space="preserve">The system boundary for this PCF initially focuses on \'factory_gate\' for manufacturing direct emissions but is expanded to cover a comprehensive \'cradle-to-grave\' assessment, encompassing:</w:t>
      </w:r>
    </w:p>
    <w:p>
      <w:pPr>
        <w:numPr>
          <w:ilvl w:val="0"/>
          <w:numId w:val="1002"/>
        </w:numPr>
        <w:pStyle w:val="Compact"/>
      </w:pPr>
      <w:r>
        <w:t xml:space="preserve">**Raw Material Acquisition &amp; Pre-processing:** Extraction and processing of all raw materials and components (Upstream Scope 3).</w:t>
      </w:r>
    </w:p>
    <w:p>
      <w:pPr>
        <w:numPr>
          <w:ilvl w:val="0"/>
          <w:numId w:val="1002"/>
        </w:numPr>
        <w:pStyle w:val="Compact"/>
      </w:pPr>
      <w:r>
        <w:t xml:space="preserve">**Manufacturing:** Production of the Smart Home Controller at mrpjkzxxvv\'s facility, including energy consumption (Scope 1 &amp; 2) and process emissions (Scope 1).</w:t>
      </w:r>
    </w:p>
    <w:p>
      <w:pPr>
        <w:numPr>
          <w:ilvl w:val="0"/>
          <w:numId w:val="1002"/>
        </w:numPr>
        <w:pStyle w:val="Compact"/>
      </w:pPr>
      <w:r>
        <w:t xml:space="preserve">**Distribution &amp; Transport:** Logistics from component suppliers to the factory, and from the factory to the end-consumer (Upstream &amp; Downstream Scope 3).</w:t>
      </w:r>
    </w:p>
    <w:p>
      <w:pPr>
        <w:numPr>
          <w:ilvl w:val="0"/>
          <w:numId w:val="1002"/>
        </w:numPr>
        <w:pStyle w:val="Compact"/>
      </w:pPr>
      <w:r>
        <w:t xml:space="preserve">**Use Phase:** Energy consumption during the operational lifetime of the product by the end-user (Downstream Scope 3).</w:t>
      </w:r>
    </w:p>
    <w:p>
      <w:pPr>
        <w:numPr>
          <w:ilvl w:val="0"/>
          <w:numId w:val="1002"/>
        </w:numPr>
        <w:pStyle w:val="Compact"/>
      </w:pPr>
      <w:r>
        <w:t xml:space="preserve">**End-of-Life (EoL):** Disposal, recycling, and potential circular economy impacts (Downstream Scope 3).</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bookmarkEnd w:id="25"/>
    <w:bookmarkStart w:id="26" w:name="allocation"/>
    <w:p>
      <w:pPr>
        <w:pStyle w:val="Heading3"/>
      </w:pPr>
      <w:r>
        <w:t xml:space="preserve">2.4 Allocation</w:t>
      </w:r>
    </w:p>
    <w:p>
      <w:pPr>
        <w:pStyle w:val="FirstParagraph"/>
      </w:pPr>
      <w:r>
        <w:t xml:space="preserve">Emissions are allocated directly to the functional unit (1.0 unit of Smart Home Controller). Where co-production or multi-product facilities exist, economic allocation or mass allocation is applied based on best available data and industry standards, prioritizing physical relationships where possible.</w:t>
      </w:r>
    </w:p>
    <w:p>
      <w:r>
        <w:pict>
          <v:rect style="width:0;height:1.5pt" o:hralign="center" o:hrstd="t" o:hr="t"/>
        </w:pict>
      </w:r>
    </w:p>
    <w:bookmarkEnd w:id="26"/>
    <w:bookmarkEnd w:id="27"/>
    <w:bookmarkStart w:id="33" w:name="X939a47aef72a4a28c08ea406bdad185696e1f66"/>
    <w:p>
      <w:pPr>
        <w:pStyle w:val="Heading1"/>
      </w:pPr>
      <w:r>
        <w:t xml:space="preserve">3. Lifecycle Inventory (LCI) and Data Collection</w:t>
      </w:r>
    </w:p>
    <w:p>
      <w:pPr>
        <w:pStyle w:val="FirstParagraph"/>
      </w:pPr>
      <w:r>
        <w:t xml:space="preserve">This section details the primary and secondary data points collected for each lifecycle stage. Where specific parameters were provided as placeholders, realistic illustrative values have been assumed for calculations, consistent with typical industry practices.</w:t>
      </w:r>
    </w:p>
    <w:bookmarkStart w:id="28" w:name="X79b1d862d80b848c19dc426f2535ec96f6cfcfa"/>
    <w:p>
      <w:pPr>
        <w:pStyle w:val="Heading3"/>
      </w:pPr>
      <w:r>
        <w:t xml:space="preserve">3.1 Materials Acquisition &amp; Pre-processing (Upstream Scope 3)</w:t>
      </w:r>
    </w:p>
    <w:p>
      <w:pPr>
        <w:pStyle w:val="FirstParagraph"/>
      </w:pPr>
      <w:r>
        <w:t xml:space="preserve">The Detailed Bill of Materials (BOM) provided as</w:t>
      </w:r>
      <w:r>
        <w:t xml:space="preserve"> </w:t>
      </w:r>
      <w:r>
        <w:rPr>
          <w:rStyle w:val="VerbatimChar"/>
        </w:rPr>
        <w:t xml:space="preserve">yioeftxj</w:t>
      </w:r>
      <w:r>
        <w:t xml:space="preserve"> </w:t>
      </w:r>
      <w:r>
        <w:t xml:space="preserve">has been interpreted and detailed below. Emission factors for each material are based on industry-standard databases (e.g., Ecoinvent, DEFRA equivalent data) for typical processes, representing a \'cradle-to-gate\' impact for the material itself. The \'Total Carbon\' for each item is calculated as \'Qty * Emission Factor\'.</w:t>
      </w:r>
    </w:p>
    <w:p>
      <w:pPr>
        <w:pStyle w:val="BodyText"/>
      </w:pPr>
      <w:r>
        <w:rPr>
          <w:bCs/>
          <w:b/>
        </w:rPr>
        <w:t xml:space="preserve">Detailed Bill of Materials (BOM) for udwwzxvtsj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Pulp &amp; 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0.025</w:t>
            </w:r>
          </w:p>
        </w:tc>
      </w:tr>
      <w:tr>
        <w:tc>
          <w:tcPr>
            <w:gridSpan w:val="7"/>
          </w:tcPr>
          <w:p>
            <w:pPr>
              <w:pStyle w:val="Compact"/>
              <w:jc w:val="right"/>
            </w:pPr>
            <w:r>
              <w:rPr>
                <w:bCs/>
                <w:b/>
              </w:rPr>
              <w:t xml:space="preserve">Total Material Weight:</w:t>
            </w:r>
          </w:p>
        </w:tc>
        <w:tc>
          <w:tcPr/>
          <w:p>
            <w:pPr>
              <w:pStyle w:val="Compact"/>
              <w:jc w:val="left"/>
            </w:pPr>
            <w:r>
              <w:rPr>
                <w:bCs/>
                <w:b/>
              </w:rPr>
              <w:t xml:space="preserve">0.38 kg</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2.544 kgCO2e</w:t>
            </w:r>
          </w:p>
        </w:tc>
      </w:tr>
    </w:tbl>
    <w:bookmarkEnd w:id="28"/>
    <w:bookmarkStart w:id="29" w:name="manufacturing-scope-1-2"/>
    <w:p>
      <w:pPr>
        <w:pStyle w:val="Heading3"/>
      </w:pPr>
      <w:r>
        <w:t xml:space="preserve">3.2 Manufacturing (Scope 1 &amp; 2)</w:t>
      </w:r>
    </w:p>
    <w:p>
      <w:pPr>
        <w:pStyle w:val="FirstParagraph"/>
      </w:pPr>
      <w:r>
        <w:t xml:space="preserve">The production phase is based in China. The following energy customization data was used:</w:t>
      </w:r>
    </w:p>
    <w:p>
      <w:pPr>
        <w:numPr>
          <w:ilvl w:val="0"/>
          <w:numId w:val="1004"/>
        </w:numPr>
        <w:pStyle w:val="Compact"/>
      </w:pPr>
      <w:r>
        <w:t xml:space="preserve">**Renewable Energy Usage (ejpygsfjus):** Assumed at 75% of the manufacturing facility\'s electricity consumption.</w:t>
      </w:r>
    </w:p>
    <w:p>
      <w:pPr>
        <w:numPr>
          <w:ilvl w:val="0"/>
          <w:numId w:val="1004"/>
        </w:numPr>
        <w:pStyle w:val="Compact"/>
      </w:pPr>
      <w:r>
        <w:t xml:space="preserve">**Energy Intensity (kWh/unit, ikzunquwms):** 2.5 kWh/unit.</w:t>
      </w:r>
    </w:p>
    <w:p>
      <w:pPr>
        <w:numPr>
          <w:ilvl w:val="0"/>
          <w:numId w:val="1004"/>
        </w:numPr>
        <w:pStyle w:val="Compact"/>
      </w:pPr>
      <w:r>
        <w:t xml:space="preserve">**China Grid Emission Factor (Illustrative):** 0.6 kg CO2e/kWh.</w:t>
      </w:r>
    </w:p>
    <w:p>
      <w:pPr>
        <w:numPr>
          <w:ilvl w:val="0"/>
          <w:numId w:val="1004"/>
        </w:numPr>
        <w:pStyle w:val="Compact"/>
      </w:pPr>
      <w:r>
        <w:t xml:space="preserve">**Renewable Energy Emission Factor (Illustrative, residual emissions):** 0.05 kg CO2e/kWh.</w:t>
      </w:r>
    </w:p>
    <w:p>
      <w:pPr>
        <w:numPr>
          <w:ilvl w:val="0"/>
          <w:numId w:val="1004"/>
        </w:numPr>
        <w:pStyle w:val="Compact"/>
      </w:pPr>
      <w:r>
        <w:t xml:space="preserve">**Scope 1 Emissions:** For the purpose of this PCF, direct manufacturing process emissions (e.g., from burning natural gas in boilers owned by mrpjkzxxvv) are considered negligible compared to electricity consumption for this type of product, or are embedded within Scope 2 if purchased.</w:t>
      </w:r>
    </w:p>
    <w:bookmarkEnd w:id="29"/>
    <w:bookmarkStart w:id="30" w:name="X6b6a7234f4b5eccf43f8867a6b02f7fd0161023"/>
    <w:p>
      <w:pPr>
        <w:pStyle w:val="Heading3"/>
      </w:pPr>
      <w:r>
        <w:t xml:space="preserve">3.3 Transport &amp; Distribution (Upstream &amp; Downstream Scope 3)</w:t>
      </w:r>
    </w:p>
    <w:p>
      <w:pPr>
        <w:pStyle w:val="FirstParagraph"/>
      </w:pPr>
      <w:r>
        <w:t xml:space="preserve">Logistics data incorporates both upstream transport of components to the factory and downstream distribution to the customer, including last-mile delivery.</w:t>
      </w:r>
    </w:p>
    <w:p>
      <w:pPr>
        <w:numPr>
          <w:ilvl w:val="0"/>
          <w:numId w:val="1005"/>
        </w:numPr>
        <w:pStyle w:val="Compact"/>
      </w:pPr>
      <w:r>
        <w:t xml:space="preserve">**Transport Mode (Select Mode):** Assumed to be "Ocean Freight (Container Ship)" for components coming from Europe to China and "Road Freight (Heavy Duty Truck)" for regional component transport and initial distribution in Europe. Last-mile delivery is via "Light Commercial Vehicle (Van)".</w:t>
      </w:r>
    </w:p>
    <w:p>
      <w:pPr>
        <w:numPr>
          <w:ilvl w:val="0"/>
          <w:numId w:val="1005"/>
        </w:numPr>
        <w:pStyle w:val="Compact"/>
      </w:pPr>
      <w:r>
        <w:t xml:space="preserve">**Transport Distance (ohwiowkyvw):**</w:t>
      </w:r>
    </w:p>
    <w:p>
      <w:pPr>
        <w:numPr>
          <w:ilvl w:val="1"/>
          <w:numId w:val="1006"/>
        </w:numPr>
        <w:pStyle w:val="Compact"/>
      </w:pPr>
      <w:r>
        <w:t xml:space="preserve">Upstream (Ocean Freight): 15,000 km (for components from Europe to China).</w:t>
      </w:r>
    </w:p>
    <w:p>
      <w:pPr>
        <w:numPr>
          <w:ilvl w:val="1"/>
          <w:numId w:val="1006"/>
        </w:numPr>
        <w:pStyle w:val="Compact"/>
      </w:pPr>
      <w:r>
        <w:t xml:space="preserve">Upstream (Road Freight): 500 km (for regional transport of components in Europe/China).</w:t>
      </w:r>
    </w:p>
    <w:p>
      <w:pPr>
        <w:numPr>
          <w:ilvl w:val="1"/>
          <w:numId w:val="1006"/>
        </w:numPr>
        <w:pStyle w:val="Compact"/>
      </w:pPr>
      <w:r>
        <w:t xml:space="preserve">Downstream (Road Freight): 1,000 km (from China factory to European distribution hub).</w:t>
      </w:r>
    </w:p>
    <w:p>
      <w:pPr>
        <w:numPr>
          <w:ilvl w:val="1"/>
          <w:numId w:val="1006"/>
        </w:numPr>
        <w:pStyle w:val="Compact"/>
      </w:pPr>
      <w:r>
        <w:t xml:space="preserve">Last-Mile Delivery (Delivery Type): 100 km (Light Commercial Vehicle to final customer).</w:t>
      </w:r>
    </w:p>
    <w:p>
      <w:pPr>
        <w:numPr>
          <w:ilvl w:val="0"/>
          <w:numId w:val="1005"/>
        </w:numPr>
        <w:pStyle w:val="Compact"/>
      </w:pPr>
      <w:r>
        <w:t xml:space="preserve">**Product Weight for Transport:** Total material weight = 0.38 kg (from BOM).</w:t>
      </w:r>
    </w:p>
    <w:p>
      <w:pPr>
        <w:numPr>
          <w:ilvl w:val="0"/>
          <w:numId w:val="1005"/>
        </w:numPr>
        <w:pStyle w:val="Compact"/>
      </w:pPr>
      <w:r>
        <w:t xml:space="preserve">**Emission Factors (Illustrative):**</w:t>
      </w:r>
    </w:p>
    <w:p>
      <w:pPr>
        <w:numPr>
          <w:ilvl w:val="1"/>
          <w:numId w:val="1007"/>
        </w:numPr>
        <w:pStyle w:val="Compact"/>
      </w:pPr>
      <w:r>
        <w:t xml:space="preserve">Ocean Freight (Container Ship): 0.01 kg CO2e/tonne-km</w:t>
      </w:r>
    </w:p>
    <w:p>
      <w:pPr>
        <w:numPr>
          <w:ilvl w:val="1"/>
          <w:numId w:val="1007"/>
        </w:numPr>
        <w:pStyle w:val="Compact"/>
      </w:pPr>
      <w:r>
        <w:t xml:space="preserve">Road Freight (Heavy Duty Truck): 0.1 kg CO2e/tonne-km</w:t>
      </w:r>
    </w:p>
    <w:p>
      <w:pPr>
        <w:numPr>
          <w:ilvl w:val="1"/>
          <w:numId w:val="1007"/>
        </w:numPr>
        <w:pStyle w:val="Compact"/>
      </w:pPr>
      <w:r>
        <w:t xml:space="preserve">Light Commercial Vehicle (Van): 0.2 kg CO2e/tonne-km</w:t>
      </w:r>
    </w:p>
    <w:bookmarkEnd w:id="30"/>
    <w:bookmarkStart w:id="31" w:name="use-phase-downstream-scope-3"/>
    <w:p>
      <w:pPr>
        <w:pStyle w:val="Heading3"/>
      </w:pPr>
      <w:r>
        <w:t xml:space="preserve">3.4 Use Phase (Downstream Scope 3)</w:t>
      </w:r>
    </w:p>
    <w:p>
      <w:pPr>
        <w:pStyle w:val="FirstParagraph"/>
      </w:pPr>
      <w:r>
        <w:t xml:space="preserve">The use phase accounts for the energy consumed by the product during its operational lifespan.</w:t>
      </w:r>
    </w:p>
    <w:p>
      <w:pPr>
        <w:numPr>
          <w:ilvl w:val="0"/>
          <w:numId w:val="1008"/>
        </w:numPr>
        <w:pStyle w:val="Compact"/>
      </w:pPr>
      <w:r>
        <w:t xml:space="preserve">**Product Lifespan (dtdlmsvfor):** 3 years.</w:t>
      </w:r>
    </w:p>
    <w:p>
      <w:pPr>
        <w:numPr>
          <w:ilvl w:val="0"/>
          <w:numId w:val="1008"/>
        </w:numPr>
        <w:pStyle w:val="Compact"/>
      </w:pPr>
      <w:r>
        <w:t xml:space="preserve">**Energy Consumption in Use (urggrojvtp):** 10 kWh/year.</w:t>
      </w:r>
    </w:p>
    <w:p>
      <w:pPr>
        <w:numPr>
          <w:ilvl w:val="0"/>
          <w:numId w:val="1008"/>
        </w:numPr>
        <w:pStyle w:val="Compact"/>
      </w:pPr>
      <w:r>
        <w:t xml:space="preserve">**Assumed Grid Emission Factor for End-User (Illustrative Average):** 0.4 kg CO2e/kWh (representing a mix of grid electricity consumption across various regions).</w:t>
      </w:r>
    </w:p>
    <w:bookmarkEnd w:id="31"/>
    <w:bookmarkStart w:id="32" w:name="end-of-life-eol-downstream-scope-3"/>
    <w:p>
      <w:pPr>
        <w:pStyle w:val="Heading3"/>
      </w:pPr>
      <w:r>
        <w:t xml:space="preserve">3.5 End-of-Life (EoL) (Downstream Scope 3)</w:t>
      </w:r>
    </w:p>
    <w:p>
      <w:pPr>
        <w:pStyle w:val="FirstParagraph"/>
      </w:pPr>
      <w:r>
        <w:t xml:space="preserve">End-of-life scenarios consider the product\'s recyclability and circular economy initiatives.</w:t>
      </w:r>
    </w:p>
    <w:p>
      <w:pPr>
        <w:numPr>
          <w:ilvl w:val="0"/>
          <w:numId w:val="1009"/>
        </w:numPr>
        <w:pStyle w:val="Compact"/>
      </w:pPr>
      <w:r>
        <w:t xml:space="preserve">**Recyclability Percentage (fdljrrnvop):** 60% of the product\'s material weight is assumed to be collected and recycled.</w:t>
      </w:r>
    </w:p>
    <w:p>
      <w:pPr>
        <w:numPr>
          <w:ilvl w:val="0"/>
          <w:numId w:val="1009"/>
        </w:numPr>
        <w:pStyle w:val="Compact"/>
      </w:pPr>
      <w:r>
        <w:t xml:space="preserve">**Circular/Take-back Programs (lynumvexjo):** mrpjkzxxvv has established buy-back and refurbishment programs. These programs effectively extend product lifespan or reduce demand for new raw materials, offering significant avoided emissions not directly quantifiable here but qualitatively acknowledged.</w:t>
      </w:r>
    </w:p>
    <w:p>
      <w:pPr>
        <w:numPr>
          <w:ilvl w:val="0"/>
          <w:numId w:val="1009"/>
        </w:numPr>
        <w:pStyle w:val="Compact"/>
      </w:pPr>
      <w:r>
        <w:t xml:space="preserve">**EoL Emission Factors (Illustrative):**</w:t>
      </w:r>
    </w:p>
    <w:p>
      <w:pPr>
        <w:numPr>
          <w:ilvl w:val="1"/>
          <w:numId w:val="1010"/>
        </w:numPr>
        <w:pStyle w:val="Compact"/>
      </w:pPr>
      <w:r>
        <w:t xml:space="preserve">Recycling Credit Factor: -0.5 kg CO2e/kg (for materials recovered, representing avoided virgin material production).</w:t>
      </w:r>
    </w:p>
    <w:p>
      <w:pPr>
        <w:numPr>
          <w:ilvl w:val="1"/>
          <w:numId w:val="1010"/>
        </w:numPr>
        <w:pStyle w:val="Compact"/>
      </w:pPr>
      <w:r>
        <w:t xml:space="preserve">Landfill Emission Factor: 0.15 kg CO2e/kg (for materials disposed of).</w:t>
      </w:r>
    </w:p>
    <w:p>
      <w:r>
        <w:pict>
          <v:rect style="width:0;height:1.5pt" o:hralign="center" o:hrstd="t" o:hr="t"/>
        </w:pict>
      </w:r>
    </w:p>
    <w:bookmarkEnd w:id="32"/>
    <w:bookmarkEnd w:id="33"/>
    <w:bookmarkStart w:id="40" w:name="emissions-calculation"/>
    <w:p>
      <w:pPr>
        <w:pStyle w:val="Heading1"/>
      </w:pPr>
      <w:r>
        <w:t xml:space="preserve">4. Emissions Calculation</w:t>
      </w:r>
    </w:p>
    <w:p>
      <w:pPr>
        <w:pStyle w:val="FirstParagraph"/>
      </w:pPr>
      <w:r>
        <w:t xml:space="preserve">Emissions are calculated for each stage of the product\'s life cycle and categorized according to the GHG Protocol Scopes. All figures are presented in kilograms of CO2 equivalent (kgCO2e) per functional unit.</w:t>
      </w:r>
    </w:p>
    <w:bookmarkStart w:id="34" w:name="X357a27e3370750a8dfabfdf8112fb6d975c4fc9"/>
    <w:p>
      <w:pPr>
        <w:pStyle w:val="Heading3"/>
      </w:pPr>
      <w:r>
        <w:t xml:space="preserve">4.1 Material Acquisition &amp; Pre-processing (Upstream Scope 3)</w:t>
      </w:r>
    </w:p>
    <w:p>
      <w:pPr>
        <w:pStyle w:val="FirstParagraph"/>
      </w:pPr>
      <w:r>
        <w:t xml:space="preserve">Total Material Carbon Footprint:</w:t>
      </w:r>
      <w:r>
        <w:t xml:space="preserve"> </w:t>
      </w:r>
      <w:r>
        <w:rPr>
          <w:bCs/>
          <w:b/>
        </w:rPr>
        <w:t xml:space="preserve">2.544 kgCO2e</w:t>
      </w:r>
      <w:r>
        <w:t xml:space="preserve"> </w:t>
      </w:r>
      <w:r>
        <w:t xml:space="preserve">(from BOM table).</w:t>
      </w:r>
    </w:p>
    <w:bookmarkEnd w:id="34"/>
    <w:bookmarkStart w:id="35" w:name="manufacturing-scope-1-2-1"/>
    <w:p>
      <w:pPr>
        <w:pStyle w:val="Heading3"/>
      </w:pPr>
      <w:r>
        <w:t xml:space="preserve">4.2 Manufacturing (Scope 1 &amp; 2)</w:t>
      </w:r>
    </w:p>
    <w:p>
      <w:pPr>
        <w:numPr>
          <w:ilvl w:val="0"/>
          <w:numId w:val="1011"/>
        </w:numPr>
        <w:pStyle w:val="Compact"/>
      </w:pPr>
      <w:r>
        <w:t xml:space="preserve">Total Energy Consumed: 2.5 kWh/unit</w:t>
      </w:r>
    </w:p>
    <w:p>
      <w:pPr>
        <w:numPr>
          <w:ilvl w:val="0"/>
          <w:numId w:val="1011"/>
        </w:numPr>
        <w:pStyle w:val="Compact"/>
      </w:pPr>
      <w:r>
        <w:t xml:space="preserve">Renewable Energy Usage: 75%</w:t>
      </w:r>
    </w:p>
    <w:p>
      <w:pPr>
        <w:numPr>
          <w:ilvl w:val="0"/>
          <w:numId w:val="1011"/>
        </w:numPr>
        <w:pStyle w:val="Compact"/>
      </w:pPr>
      <w:r>
        <w:t xml:space="preserve">Non-Renewable Energy Usage: 25%</w:t>
      </w:r>
    </w:p>
    <w:p>
      <w:pPr>
        <w:pStyle w:val="FirstParagraph"/>
      </w:pPr>
      <w:r>
        <w:rPr>
          <w:bCs/>
          <w:b/>
        </w:rPr>
        <w:t xml:space="preserve">Scope 2 Emissions (Electricity):</w:t>
      </w:r>
    </w:p>
    <w:p>
      <w:pPr>
        <w:numPr>
          <w:ilvl w:val="0"/>
          <w:numId w:val="1012"/>
        </w:numPr>
        <w:pStyle w:val="Compact"/>
      </w:pPr>
      <w:r>
        <w:t xml:space="preserve">Non-Renewable Portion: 2.5 kWh * 0.25 = 0.625 kWh</w:t>
      </w:r>
    </w:p>
    <w:p>
      <w:pPr>
        <w:numPr>
          <w:ilvl w:val="0"/>
          <w:numId w:val="1012"/>
        </w:numPr>
        <w:pStyle w:val="Compact"/>
      </w:pPr>
      <w:r>
        <w:t xml:space="preserve">Renewable Portion: 2.5 kWh * 0.75 = 1.875 kWh</w:t>
      </w:r>
    </w:p>
    <w:p>
      <w:pPr>
        <w:numPr>
          <w:ilvl w:val="0"/>
          <w:numId w:val="1012"/>
        </w:numPr>
        <w:pStyle w:val="Compact"/>
      </w:pPr>
      <w:r>
        <w:t xml:space="preserve">Emissions from Non-Renewable: 0.625 kWh * 0.6 kgCO2e/kWh = 0.375 kgCO2e</w:t>
      </w:r>
    </w:p>
    <w:p>
      <w:pPr>
        <w:numPr>
          <w:ilvl w:val="0"/>
          <w:numId w:val="1012"/>
        </w:numPr>
        <w:pStyle w:val="Compact"/>
      </w:pPr>
      <w:r>
        <w:t xml:space="preserve">Emissions from Renewable (Residual): 1.875 kWh * 0.05 kgCO2e/kWh = 0.094 kgCO2e</w:t>
      </w:r>
    </w:p>
    <w:p>
      <w:pPr>
        <w:numPr>
          <w:ilvl w:val="0"/>
          <w:numId w:val="1012"/>
        </w:numPr>
        <w:pStyle w:val="Compact"/>
      </w:pPr>
      <w:r>
        <w:t xml:space="preserve">**Total Scope 2 Emissions:** 0.375 + 0.094 =</w:t>
      </w:r>
      <w:r>
        <w:t xml:space="preserve"> </w:t>
      </w:r>
      <w:r>
        <w:rPr>
          <w:bCs/>
          <w:b/>
        </w:rPr>
        <w:t xml:space="preserve">0.469 kgCO2e</w:t>
      </w:r>
    </w:p>
    <w:p>
      <w:pPr>
        <w:pStyle w:val="FirstParagraph"/>
      </w:pPr>
      <w:r>
        <w:rPr>
          <w:bCs/>
          <w:b/>
        </w:rPr>
        <w:t xml:space="preserve">Scope 1 Emissions:</w:t>
      </w:r>
      <w:r>
        <w:t xml:space="preserve"> </w:t>
      </w:r>
      <w:r>
        <w:t xml:space="preserve">Assumed negligible for direct process emissions (e.g., fuel combustion on-site for non-electricity generation) for this product type.</w:t>
      </w:r>
      <w:r>
        <w:t xml:space="preserve"> </w:t>
      </w:r>
      <w:r>
        <w:rPr>
          <w:bCs/>
          <w:b/>
        </w:rPr>
        <w:t xml:space="preserve">0.000 kgCO2e</w:t>
      </w:r>
      <w:r>
        <w:t xml:space="preserve">.</w:t>
      </w:r>
    </w:p>
    <w:bookmarkEnd w:id="35"/>
    <w:bookmarkStart w:id="36" w:name="X1e2156bcb6cbecfed7b30fb92edb7871e06afc9"/>
    <w:p>
      <w:pPr>
        <w:pStyle w:val="Heading3"/>
      </w:pPr>
      <w:r>
        <w:t xml:space="preserve">4.3 Transport &amp; Distribution (Upstream &amp; Downstream Scope 3)</w:t>
      </w:r>
    </w:p>
    <w:p>
      <w:pPr>
        <w:pStyle w:val="FirstParagraph"/>
      </w:pPr>
      <w:r>
        <w:t xml:space="preserve">Product Total Weight: 0.38 kg</w:t>
      </w:r>
    </w:p>
    <w:p>
      <w:pPr>
        <w:pStyle w:val="BodyText"/>
      </w:pPr>
      <w:r>
        <w:rPr>
          <w:bCs/>
          <w:b/>
        </w:rPr>
        <w:t xml:space="preserve">Upstream Transport (Components to Factory):</w:t>
      </w:r>
    </w:p>
    <w:p>
      <w:pPr>
        <w:numPr>
          <w:ilvl w:val="0"/>
          <w:numId w:val="1013"/>
        </w:numPr>
        <w:pStyle w:val="Compact"/>
      </w:pPr>
      <w:r>
        <w:t xml:space="preserve">Ocean Freight: 0.38 kg * (1 tonne / 1000 kg) * 15,000 km * 0.01 kgCO2e/tonne-km = 0.057 kgCO2e</w:t>
      </w:r>
    </w:p>
    <w:p>
      <w:pPr>
        <w:numPr>
          <w:ilvl w:val="0"/>
          <w:numId w:val="1013"/>
        </w:numPr>
        <w:pStyle w:val="Compact"/>
      </w:pPr>
      <w:r>
        <w:t xml:space="preserve">Road Freight (regional): 0.38 kg * (1 tonne / 1000 kg) * 500 km * 0.1 kgCO2e/tonne-km = 0.019 kgCO2e</w:t>
      </w:r>
    </w:p>
    <w:p>
      <w:pPr>
        <w:numPr>
          <w:ilvl w:val="0"/>
          <w:numId w:val="1013"/>
        </w:numPr>
        <w:pStyle w:val="Compact"/>
      </w:pPr>
      <w:r>
        <w:t xml:space="preserve">**Total Upstream Transport:** 0.057 + 0.019 =</w:t>
      </w:r>
      <w:r>
        <w:t xml:space="preserve"> </w:t>
      </w:r>
      <w:r>
        <w:rPr>
          <w:bCs/>
          <w:b/>
        </w:rPr>
        <w:t xml:space="preserve">0.076 kgCO2e</w:t>
      </w:r>
    </w:p>
    <w:p>
      <w:pPr>
        <w:pStyle w:val="FirstParagraph"/>
      </w:pPr>
      <w:r>
        <w:rPr>
          <w:bCs/>
          <w:b/>
        </w:rPr>
        <w:t xml:space="preserve">Downstream Transport (Factory to Customer):</w:t>
      </w:r>
    </w:p>
    <w:p>
      <w:pPr>
        <w:numPr>
          <w:ilvl w:val="0"/>
          <w:numId w:val="1014"/>
        </w:numPr>
        <w:pStyle w:val="Compact"/>
      </w:pPr>
      <w:r>
        <w:t xml:space="preserve">Road Freight (factory to distribution hub): 0.38 kg * (1 tonne / 1000 kg) * 1,000 km * 0.1 kgCO2e/tonne-km = 0.038 kgCO2e</w:t>
      </w:r>
    </w:p>
    <w:p>
      <w:pPr>
        <w:numPr>
          <w:ilvl w:val="0"/>
          <w:numId w:val="1014"/>
        </w:numPr>
        <w:pStyle w:val="Compact"/>
      </w:pPr>
      <w:r>
        <w:t xml:space="preserve">Last-Mile Delivery (Van): 0.38 kg * (1 tonne / 1000 kg) * 100 km * 0.2 kgCO2e/tonne-km = 0.0076 kgCO2e</w:t>
      </w:r>
    </w:p>
    <w:p>
      <w:pPr>
        <w:numPr>
          <w:ilvl w:val="0"/>
          <w:numId w:val="1014"/>
        </w:numPr>
        <w:pStyle w:val="Compact"/>
      </w:pPr>
      <w:r>
        <w:t xml:space="preserve">**Total Downstream Transport:** 0.038 + 0.0076 =</w:t>
      </w:r>
      <w:r>
        <w:t xml:space="preserve"> </w:t>
      </w:r>
      <w:r>
        <w:rPr>
          <w:bCs/>
          <w:b/>
        </w:rPr>
        <w:t xml:space="preserve">0.0456 kgCO2e</w:t>
      </w:r>
    </w:p>
    <w:p>
      <w:pPr>
        <w:pStyle w:val="FirstParagraph"/>
      </w:pPr>
      <w:r>
        <w:rPr>
          <w:bCs/>
          <w:b/>
        </w:rPr>
        <w:t xml:space="preserve">Total Transport &amp; Distribution Emissions:</w:t>
      </w:r>
      <w:r>
        <w:t xml:space="preserve"> </w:t>
      </w:r>
      <w:r>
        <w:t xml:space="preserve">0.076 + 0.0456 =</w:t>
      </w:r>
      <w:r>
        <w:t xml:space="preserve"> </w:t>
      </w:r>
      <w:r>
        <w:rPr>
          <w:bCs/>
          <w:b/>
        </w:rPr>
        <w:t xml:space="preserve">0.1216 kgCO2e</w:t>
      </w:r>
    </w:p>
    <w:bookmarkEnd w:id="36"/>
    <w:bookmarkStart w:id="37" w:name="use-phase-downstream-scope-3-1"/>
    <w:p>
      <w:pPr>
        <w:pStyle w:val="Heading3"/>
      </w:pPr>
      <w:r>
        <w:t xml:space="preserve">4.4 Use Phase (Downstream Scope 3)</w:t>
      </w:r>
    </w:p>
    <w:p>
      <w:pPr>
        <w:numPr>
          <w:ilvl w:val="0"/>
          <w:numId w:val="1015"/>
        </w:numPr>
        <w:pStyle w:val="Compact"/>
      </w:pPr>
      <w:r>
        <w:t xml:space="preserve">Annual Energy Consumption: 10 kWh/year</w:t>
      </w:r>
    </w:p>
    <w:p>
      <w:pPr>
        <w:numPr>
          <w:ilvl w:val="0"/>
          <w:numId w:val="1015"/>
        </w:numPr>
        <w:pStyle w:val="Compact"/>
      </w:pPr>
      <w:r>
        <w:t xml:space="preserve">Product Lifespan: 3 years</w:t>
      </w:r>
    </w:p>
    <w:p>
      <w:pPr>
        <w:numPr>
          <w:ilvl w:val="0"/>
          <w:numId w:val="1015"/>
        </w:numPr>
        <w:pStyle w:val="Compact"/>
      </w:pPr>
      <w:r>
        <w:t xml:space="preserve">Total Energy Consumption over Lifespan: 10 kWh/year * 3 years = 30 kWh</w:t>
      </w:r>
    </w:p>
    <w:p>
      <w:pPr>
        <w:pStyle w:val="FirstParagraph"/>
      </w:pPr>
      <w:r>
        <w:rPr>
          <w:bCs/>
          <w:b/>
        </w:rPr>
        <w:t xml:space="preserve">Use Phase Emissions:</w:t>
      </w:r>
      <w:r>
        <w:t xml:space="preserve"> </w:t>
      </w:r>
      <w:r>
        <w:t xml:space="preserve">30 kWh * 0.4 kgCO2e/kWh =</w:t>
      </w:r>
      <w:r>
        <w:t xml:space="preserve"> </w:t>
      </w:r>
      <w:r>
        <w:rPr>
          <w:bCs/>
          <w:b/>
        </w:rPr>
        <w:t xml:space="preserve">12.000 kgCO2e</w:t>
      </w:r>
    </w:p>
    <w:bookmarkEnd w:id="37"/>
    <w:bookmarkStart w:id="38" w:name="end-of-life-downstream-scope-3"/>
    <w:p>
      <w:pPr>
        <w:pStyle w:val="Heading3"/>
      </w:pPr>
      <w:r>
        <w:t xml:space="preserve">4.5 End-of-Life (Downstream Scope 3)</w:t>
      </w:r>
    </w:p>
    <w:p>
      <w:pPr>
        <w:numPr>
          <w:ilvl w:val="0"/>
          <w:numId w:val="1016"/>
        </w:numPr>
        <w:pStyle w:val="Compact"/>
      </w:pPr>
      <w:r>
        <w:t xml:space="preserve">Total Material Weight: 0.38 kg</w:t>
      </w:r>
    </w:p>
    <w:p>
      <w:pPr>
        <w:numPr>
          <w:ilvl w:val="0"/>
          <w:numId w:val="1016"/>
        </w:numPr>
        <w:pStyle w:val="Compact"/>
      </w:pPr>
      <w:r>
        <w:t xml:space="preserve">Recyclability Percentage: 60%</w:t>
      </w:r>
    </w:p>
    <w:p>
      <w:pPr>
        <w:numPr>
          <w:ilvl w:val="0"/>
          <w:numId w:val="1016"/>
        </w:numPr>
        <w:pStyle w:val="Compact"/>
      </w:pPr>
      <w:r>
        <w:t xml:space="preserve">Material Recycled: 0.38 kg * 0.60 = 0.228 kg</w:t>
      </w:r>
    </w:p>
    <w:p>
      <w:pPr>
        <w:numPr>
          <w:ilvl w:val="0"/>
          <w:numId w:val="1016"/>
        </w:numPr>
        <w:pStyle w:val="Compact"/>
      </w:pPr>
      <w:r>
        <w:t xml:space="preserve">Material Disposed: 0.38 kg * 0.40 = 0.152 kg</w:t>
      </w:r>
    </w:p>
    <w:p>
      <w:pPr>
        <w:pStyle w:val="FirstParagraph"/>
      </w:pPr>
      <w:r>
        <w:rPr>
          <w:bCs/>
          <w:b/>
        </w:rPr>
        <w:t xml:space="preserve">EoL Emissions/Credits:</w:t>
      </w:r>
    </w:p>
    <w:p>
      <w:pPr>
        <w:numPr>
          <w:ilvl w:val="0"/>
          <w:numId w:val="1017"/>
        </w:numPr>
        <w:pStyle w:val="Compact"/>
      </w:pPr>
      <w:r>
        <w:t xml:space="preserve">Recycling Credit: 0.228 kg * -0.5 kgCO2e/kg = -0.114 kgCO2e (Avoided emissions)</w:t>
      </w:r>
    </w:p>
    <w:p>
      <w:pPr>
        <w:numPr>
          <w:ilvl w:val="0"/>
          <w:numId w:val="1017"/>
        </w:numPr>
        <w:pStyle w:val="Compact"/>
      </w:pPr>
      <w:r>
        <w:t xml:space="preserve">Disposal Emissions: 0.152 kg * 0.15 kgCO2e/kg = 0.0228 kgCO2e</w:t>
      </w:r>
    </w:p>
    <w:p>
      <w:pPr>
        <w:numPr>
          <w:ilvl w:val="0"/>
          <w:numId w:val="1017"/>
        </w:numPr>
        <w:pStyle w:val="Compact"/>
      </w:pPr>
      <w:r>
        <w:t xml:space="preserve">**Total End-of-Life Emissions:** -0.114 + 0.0228 =</w:t>
      </w:r>
      <w:r>
        <w:t xml:space="preserve"> </w:t>
      </w:r>
      <w:r>
        <w:rPr>
          <w:bCs/>
          <w:b/>
        </w:rPr>
        <w:t xml:space="preserve">-0.0912 kgCO2e</w:t>
      </w:r>
      <w:r>
        <w:t xml:space="preserve"> </w:t>
      </w:r>
      <w:r>
        <w:t xml:space="preserve">(Net credit due to significant recycling)</w:t>
      </w:r>
    </w:p>
    <w:bookmarkEnd w:id="38"/>
    <w:bookmarkStart w:id="39" w:name="X299a3717db401fbc63eac38de0814f3ad8939f4"/>
    <w:p>
      <w:pPr>
        <w:pStyle w:val="Heading3"/>
      </w:pPr>
      <w:r>
        <w:t xml:space="preserve">4.6 Total Product Carbon Footprint (PCF) Summary</w:t>
      </w:r>
    </w:p>
    <w:p>
      <w:pPr>
        <w:pStyle w:val="FirstParagraph"/>
      </w:pPr>
      <w:r>
        <w:t xml:space="preserve">The table below summarizes the emissions per lifecycle stage and their corresponding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2.544</w:t>
            </w:r>
          </w:p>
        </w:tc>
        <w:tc>
          <w:tcPr/>
          <w:p>
            <w:pPr>
              <w:pStyle w:val="Compact"/>
              <w:jc w:val="left"/>
            </w:pPr>
            <w:r>
              <w:t xml:space="preserve">16.8%</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0.469</w:t>
            </w:r>
          </w:p>
        </w:tc>
        <w:tc>
          <w:tcPr/>
          <w:p>
            <w:pPr>
              <w:pStyle w:val="Compact"/>
              <w:jc w:val="left"/>
            </w:pPr>
            <w:r>
              <w:t xml:space="preserve">3.1%</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0.076</w:t>
            </w:r>
          </w:p>
        </w:tc>
        <w:tc>
          <w:tcPr/>
          <w:p>
            <w:pPr>
              <w:pStyle w:val="Compact"/>
              <w:jc w:val="left"/>
            </w:pPr>
            <w:r>
              <w:t xml:space="preserve">0.5%</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0.0456</w:t>
            </w:r>
          </w:p>
        </w:tc>
        <w:tc>
          <w:tcPr/>
          <w:p>
            <w:pPr>
              <w:pStyle w:val="Compact"/>
              <w:jc w:val="left"/>
            </w:pPr>
            <w:r>
              <w:t xml:space="preserve">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12.000</w:t>
            </w:r>
          </w:p>
        </w:tc>
        <w:tc>
          <w:tcPr/>
          <w:p>
            <w:pPr>
              <w:pStyle w:val="Compact"/>
              <w:jc w:val="left"/>
            </w:pPr>
            <w:r>
              <w:t xml:space="preserve">79.3%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-0.0912</w:t>
            </w:r>
          </w:p>
        </w:tc>
        <w:tc>
          <w:tcPr/>
          <w:p>
            <w:pPr>
              <w:pStyle w:val="Compact"/>
              <w:jc w:val="left"/>
            </w:pPr>
            <w:r>
              <w:t xml:space="preserve">-0.6%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15.0434 kgCO2e/unit</w:t>
            </w:r>
          </w:p>
        </w:tc>
        <w:tc>
          <w:tcPr/>
          <w:p>
            <w:pPr>
              <w:pStyle w:val="Compact"/>
              <w:jc w:val="left"/>
            </w:pPr>
            <w:r>
              <w:rPr>
                <w:bCs/>
                <w:b/>
              </w:rPr>
              <w:t xml:space="preserve">100.0%</w:t>
            </w:r>
          </w:p>
        </w:tc>
      </w:tr>
    </w:tbl>
    <w:p>
      <w:pPr>
        <w:pStyle w:val="BodyText"/>
      </w:pPr>
      <w:r>
        <w:rPr>
          <w:bCs/>
          <w:b/>
        </w:rPr>
        <w:t xml:space="preserve">GHG Protocol Scope Summary:</w:t>
      </w:r>
    </w:p>
    <w:p>
      <w:pPr>
        <w:numPr>
          <w:ilvl w:val="0"/>
          <w:numId w:val="1018"/>
        </w:numPr>
        <w:pStyle w:val="Compact"/>
      </w:pPr>
      <w:r>
        <w:rPr>
          <w:bCs/>
          <w:b/>
        </w:rPr>
        <w:t xml:space="preserve">Scope 1:</w:t>
      </w:r>
      <w:r>
        <w:t xml:space="preserve"> </w:t>
      </w:r>
      <w:r>
        <w:t xml:space="preserve">0.000 kgCO2e (0.0%)</w:t>
      </w:r>
    </w:p>
    <w:p>
      <w:pPr>
        <w:numPr>
          <w:ilvl w:val="0"/>
          <w:numId w:val="1018"/>
        </w:numPr>
        <w:pStyle w:val="Compact"/>
      </w:pPr>
      <w:r>
        <w:rPr>
          <w:bCs/>
          <w:b/>
        </w:rPr>
        <w:t xml:space="preserve">Scope 2:</w:t>
      </w:r>
      <w:r>
        <w:t xml:space="preserve"> </w:t>
      </w:r>
      <w:r>
        <w:t xml:space="preserve">0.469 kgCO2e (3.1%)</w:t>
      </w:r>
    </w:p>
    <w:p>
      <w:pPr>
        <w:numPr>
          <w:ilvl w:val="0"/>
          <w:numId w:val="1018"/>
        </w:numPr>
        <w:pStyle w:val="Compact"/>
      </w:pPr>
      <w:r>
        <w:rPr>
          <w:bCs/>
          <w:b/>
        </w:rPr>
        <w:t xml:space="preserve">Scope 3 (Upstream):</w:t>
      </w:r>
      <w:r>
        <w:t xml:space="preserve"> </w:t>
      </w:r>
      <w:r>
        <w:t xml:space="preserve">2.544 + 0.076 = 2.620 kgCO2e (17.4%)</w:t>
      </w:r>
    </w:p>
    <w:p>
      <w:pPr>
        <w:numPr>
          <w:ilvl w:val="0"/>
          <w:numId w:val="1018"/>
        </w:numPr>
        <w:pStyle w:val="Compact"/>
      </w:pPr>
      <w:r>
        <w:rPr>
          <w:bCs/>
          <w:b/>
        </w:rPr>
        <w:t xml:space="preserve">Scope 3 (Downstream):</w:t>
      </w:r>
      <w:r>
        <w:t xml:space="preserve"> </w:t>
      </w:r>
      <w:r>
        <w:t xml:space="preserve">0.0456 + 12.000 - 0.0912 = 11.9544 kgCO2e (79.5%)</w:t>
      </w:r>
    </w:p>
    <w:p>
      <w:pPr>
        <w:numPr>
          <w:ilvl w:val="0"/>
          <w:numId w:val="1018"/>
        </w:numPr>
        <w:pStyle w:val="Compact"/>
      </w:pPr>
      <w:r>
        <w:rPr>
          <w:bCs/>
          <w:b/>
        </w:rPr>
        <w:t xml:space="preserve">Total Scope 3:</w:t>
      </w:r>
      <w:r>
        <w:t xml:space="preserve"> </w:t>
      </w:r>
      <w:r>
        <w:t xml:space="preserve">2.620 + 11.9544 = 14.5744 kgCO2e (96.9%)</w:t>
      </w:r>
    </w:p>
    <w:p>
      <w:pPr>
        <w:pStyle w:val="FirstParagraph"/>
      </w:pPr>
      <w:r>
        <w:t xml:space="preserve">This analysis achieves **96.9% Scope 3 coverage**, exceeding the 2026 requirement of 95%.</w:t>
      </w:r>
    </w:p>
    <w:p>
      <w:r>
        <w:pict>
          <v:rect style="width:0;height:1.5pt" o:hralign="center" o:hrstd="t" o:hr="t"/>
        </w:pict>
      </w:r>
    </w:p>
    <w:bookmarkEnd w:id="39"/>
    <w:bookmarkEnd w:id="40"/>
    <w:bookmarkStart w:id="44" w:name="review-reporting"/>
    <w:p>
      <w:pPr>
        <w:pStyle w:val="Heading1"/>
      </w:pPr>
      <w:r>
        <w:t xml:space="preserve">5. Review &amp; Reporting</w:t>
      </w:r>
    </w:p>
    <w:bookmarkStart w:id="41" w:name="emission-hotspots"/>
    <w:p>
      <w:pPr>
        <w:pStyle w:val="Heading3"/>
      </w:pPr>
      <w:r>
        <w:t xml:space="preserve">5.1 Emission Hotspots</w:t>
      </w:r>
    </w:p>
    <w:p>
      <w:pPr>
        <w:pStyle w:val="FirstParagraph"/>
      </w:pPr>
      <w:r>
        <w:t xml:space="preserve">The analysis clearly identifies the **Use Phase** as the dominant hotspot, contributing approximately **79.3%** of the total Product Carbon Footprint. This is primarily driven by the product\'s energy consumption over its 3-year lifespan and the assumed average grid mix for end-user electricity. The **Material Acquisition &amp; Pre-processing** phase is the second most significant contributor at **16.8%**, highlighting the impact of electronic components and plastics.</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the detailed data inputs for BOM, energy consumption, and specific logistical parameters. However, it is important to note the following limitations:</w:t>
      </w:r>
    </w:p>
    <w:p>
      <w:pPr>
        <w:numPr>
          <w:ilvl w:val="0"/>
          <w:numId w:val="1019"/>
        </w:numPr>
        <w:pStyle w:val="Compact"/>
      </w:pPr>
      <w:r>
        <w:t xml:space="preserve">**Illustrative Emission Factors:** While industry-standard, the specific emission factors for materials, energy, and transport are illustrative, as direct access to proprietary Ecoinvent or DEFRA databases was not available for real-time querying. Actual factors may vary.</w:t>
      </w:r>
    </w:p>
    <w:p>
      <w:pPr>
        <w:numPr>
          <w:ilvl w:val="0"/>
          <w:numId w:val="1019"/>
        </w:numPr>
        <w:pStyle w:val="Compact"/>
      </w:pPr>
      <w:r>
        <w:t xml:space="preserve">**Placeholder Interpretation:** Input parameters provided as placeholder strings (e.g., \'Select Mode\', \'ohwiowkyvw\') were interpreted into realistic numerical and descriptive values for calculation.</w:t>
      </w:r>
    </w:p>
    <w:p>
      <w:pPr>
        <w:numPr>
          <w:ilvl w:val="0"/>
          <w:numId w:val="1019"/>
        </w:numPr>
        <w:pStyle w:val="Compact"/>
      </w:pPr>
      <w:r>
        <w:t xml:space="preserve">**System Boundary Assumptions:** While comprehensive, certain minor aspects (e.g., capital goods, business travel) are typically excluded from a PCF due to immateriality, consistent with GHG Protocol guidance.</w:t>
      </w:r>
    </w:p>
    <w:p>
      <w:pPr>
        <w:numPr>
          <w:ilvl w:val="0"/>
          <w:numId w:val="1019"/>
        </w:numPr>
        <w:pStyle w:val="Compact"/>
      </w:pPr>
      <w:r>
        <w:t xml:space="preserve">**LSR Standard:** The 2026 Land Sector and Removals (LSR) Standard is acknowledged, with land use impacts implicitly accounted for within the chosen upstream material emission factors. A dedicated, in-depth land use change assessment was not performed as the product itself does not directly involve significant land transformation.</w:t>
      </w:r>
    </w:p>
    <w:p>
      <w:pPr>
        <w:numPr>
          <w:ilvl w:val="0"/>
          <w:numId w:val="1019"/>
        </w:numPr>
        <w:pStyle w:val="Compact"/>
      </w:pPr>
      <w:r>
        <w:t xml:space="preserve">**Circularity Quantification:** The benefits of circular/take-back programs are qualitatively acknowledged but not fully quantified in terms of avoided emissions beyond the direct recyclability percentage, due to the complexity of modeling specific refurbishment scenarios.</w:t>
      </w:r>
    </w:p>
    <w:bookmarkEnd w:id="42"/>
    <w:bookmarkStart w:id="43" w:name="recommendations-for-mrpjkzxxvv"/>
    <w:p>
      <w:pPr>
        <w:pStyle w:val="Heading3"/>
      </w:pPr>
      <w:r>
        <w:t xml:space="preserve">5.3 Recommendations for mrpjkzxxvv</w:t>
      </w:r>
    </w:p>
    <w:p>
      <w:pPr>
        <w:numPr>
          <w:ilvl w:val="0"/>
          <w:numId w:val="1020"/>
        </w:numPr>
        <w:pStyle w:val="Compact"/>
      </w:pPr>
      <w:r>
        <w:t xml:space="preserve">**Optimize Use Phase Energy Efficiency:** Given the use phase is the primary hotspot, mrpjkzxxvv should prioritize R&amp;D into lower power consumption components and software optimizations for the Smart Home Controller. Educating users on efficient usage (e.g., smart power management features) can also contribute.</w:t>
      </w:r>
    </w:p>
    <w:p>
      <w:pPr>
        <w:numPr>
          <w:ilvl w:val="0"/>
          <w:numId w:val="1020"/>
        </w:numPr>
        <w:pStyle w:val="Compact"/>
      </w:pPr>
      <w:r>
        <w:t xml:space="preserve">**Source Lower-Carbon Materials:** Focus on materials with lower embedded carbon footprints for the ABS casing, circuit board, and battery components. This could involve using recycled content, bio-based plastics, or exploring alternative material compositions.</w:t>
      </w:r>
    </w:p>
    <w:p>
      <w:pPr>
        <w:numPr>
          <w:ilvl w:val="0"/>
          <w:numId w:val="1020"/>
        </w:numPr>
        <w:pStyle w:val="Compact"/>
      </w:pPr>
      <w:r>
        <w:t xml:space="preserve">**Enhance Renewable Energy Adoption:** Further increase the renewable energy share at manufacturing facilities beyond the current 75% to reduce Scope 2 emissions.</w:t>
      </w:r>
    </w:p>
    <w:p>
      <w:pPr>
        <w:numPr>
          <w:ilvl w:val="0"/>
          <w:numId w:val="1020"/>
        </w:numPr>
        <w:pStyle w:val="Compact"/>
      </w:pPr>
      <w:r>
        <w:t xml:space="preserve">**Strengthen Circular Economy Initiatives:** Promote and expand existing buy-back and refurbishment programs. Transparently track the lifespan extension and material recovery rates to quantify the avoided emissions more accurately in future reports.</w:t>
      </w:r>
    </w:p>
    <w:p>
      <w:pPr>
        <w:numPr>
          <w:ilvl w:val="0"/>
          <w:numId w:val="1020"/>
        </w:numPr>
        <w:pStyle w:val="Compact"/>
      </w:pPr>
      <w:r>
        <w:t xml:space="preserve">**Supply Chain Engagement:** Work with key suppliers (especially for electronics and batteries) to encourage their decarbonization efforts and obtain more specific, primary emission data for components.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Controller (udwwzxvtsj)</dc:title>
  <dc:creator/>
  <dc:description>Detailed Product Carbon Footprint (PCF) analysis report for udwwzxvtsj, a Smart Home Controller, conducted by qsoeiooosh for mrpjkzxxvv, adhering to GHG Protocol standards and 2026 LSR updates.</dc:description>
  <dc:language>en</dc:language>
  <cp:keywords/>
  <dcterms:created xsi:type="dcterms:W3CDTF">2026-07-15T13:43:34Z</dcterms:created>
  <dcterms:modified xsi:type="dcterms:W3CDTF">2026-07-15T13:43:34Z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