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Gadget</w:t>
      </w:r>
      <w:r>
        <w:t xml:space="preserve"> </w:t>
      </w:r>
      <w:r>
        <w:t xml:space="preserve">X</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shkzdsqted (Smart Gadget X)</w:t>
      </w:r>
    </w:p>
    <w:p>
      <w:pPr>
        <w:pStyle w:val="BodyText"/>
      </w:pPr>
      <w:r>
        <w:rPr>
          <w:bCs/>
          <w:b/>
        </w:rPr>
        <w:t xml:space="preserve">Company Name:</w:t>
      </w:r>
      <w:r>
        <w:t xml:space="preserve"> </w:t>
      </w:r>
      <w:r>
        <w:t xml:space="preserve">torppwwwmv</w:t>
      </w:r>
    </w:p>
    <w:p>
      <w:pPr>
        <w:pStyle w:val="BodyText"/>
      </w:pPr>
      <w:r>
        <w:rPr>
          <w:bCs/>
          <w:b/>
        </w:rPr>
        <w:t xml:space="preserve">Senior Sustainability Consultant:</w:t>
      </w:r>
      <w:r>
        <w:t xml:space="preserve"> </w:t>
      </w:r>
      <w:r>
        <w:t xml:space="preserve">nkdlsytwju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 carbon footprint. Actual emissions may vary based on real-time data and specific operational details.</w:t>
      </w:r>
    </w:p>
    <w:bookmarkEnd w:id="20"/>
    <w:bookmarkStart w:id="21" w:name="X307bdd0d2da62925244273c03e2e2b751ecebe4"/>
    <w:p>
      <w:pPr>
        <w:pStyle w:val="Heading1"/>
      </w:pPr>
      <w:r>
        <w:t xml:space="preserve">Product Carbon Footprint Report: shkzdsqted (Smart Gadget X)</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nkdlsytwju (torppwwwmv)</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"shkzdsqted" (referred to as Smart Gadget X) manufactured by torppwwwmv. The analysis adheres to the Greenhouse Gas (GHG) Protocol standards, including considerations for the upcoming 2026 Land Sector and Removals (LSR) update. The primary objective is to quantify the lifecycle greenhouse gas emissions associated with Smart Gadget X, identify emission hotspots, and provide actionable insights for reduction. The functional unit for this analysis is 1.0 unit of Smart Gadget X, with a system boundary defined as \'factory gate\' for upstream processes and a \'cradle-to-grave\' approach for the overall lifecycle. All emissions are categorized into Scope 1, 2, and 3 as per GHG Protocol requirements, ensuring at least 95% coverage for Scope 3 reporting.</w: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Smart Gadget X follows a five-step methodology in line with the GHG Protocol Product Life Cycle Accounting and Reporting Standard.</w:t>
      </w:r>
    </w:p>
    <w:bookmarkStart w:id="23"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shkzdsqted (Smart Gadget X)</w:t>
      </w:r>
      <w:r>
        <w:t xml:space="preserve">, designed to perform its intended functions over its specified lifespan.</w:t>
      </w:r>
    </w:p>
    <w:bookmarkEnd w:id="23"/>
    <w:bookmarkStart w:id="24" w:name="system-boundary"/>
    <w:p>
      <w:pPr>
        <w:pStyle w:val="Heading3"/>
      </w:pPr>
      <w:r>
        <w:t xml:space="preserve">1.2. System Boundary</w:t>
      </w:r>
    </w:p>
    <w:p>
      <w:pPr>
        <w:pStyle w:val="FirstParagraph"/>
      </w:pPr>
      <w:r>
        <w:t xml:space="preserve">A "cradle-to-grave" system boundary is adopted for this PCF, covering all stages from raw material extraction to the end-of-life treatment of the product. However, for reporting structure, the primary production (material acquisition, manufacturing, and inbound logistics) is focused on the \'factory_gate\' as per the parameter, while subsequent stages (use phase, distribution, and end-of-life) are also included to provide a comprehensive view.</w:t>
      </w:r>
    </w:p>
    <w:p>
      <w:pPr>
        <w:numPr>
          <w:ilvl w:val="0"/>
          <w:numId w:val="1001"/>
        </w:numPr>
        <w:pStyle w:val="Compact"/>
      </w:pPr>
      <w:r>
        <w:rPr>
          <w:bCs/>
          <w:b/>
        </w:rPr>
        <w:t xml:space="preserve">Upstream (Scope 3, Category 1-4):</w:t>
      </w:r>
      <w:r>
        <w:t xml:space="preserve"> </w:t>
      </w:r>
      <w:r>
        <w:t xml:space="preserve">Raw material extraction, processing, component manufacturing, and transport to the final production facility.</w:t>
      </w:r>
    </w:p>
    <w:p>
      <w:pPr>
        <w:numPr>
          <w:ilvl w:val="0"/>
          <w:numId w:val="1001"/>
        </w:numPr>
        <w:pStyle w:val="Compact"/>
      </w:pPr>
      <w:r>
        <w:rPr>
          <w:bCs/>
          <w:b/>
        </w:rPr>
        <w:t xml:space="preserve">Core (Scope 1 &amp; 2):</w:t>
      </w:r>
      <w:r>
        <w:t xml:space="preserve"> </w:t>
      </w:r>
      <w:r>
        <w:t xml:space="preserve">Manufacturing of the Smart Gadget X at the torppwwwmv facility.</w:t>
      </w:r>
    </w:p>
    <w:p>
      <w:pPr>
        <w:numPr>
          <w:ilvl w:val="0"/>
          <w:numId w:val="1001"/>
        </w:numPr>
        <w:pStyle w:val="Compact"/>
      </w:pPr>
      <w:r>
        <w:rPr>
          <w:bCs/>
          <w:b/>
        </w:rPr>
        <w:t xml:space="preserve">Downstream (Scope 3, Category 9, 11, 12):</w:t>
      </w:r>
      <w:r>
        <w:t xml:space="preserve"> </w:t>
      </w:r>
      <w:r>
        <w:t xml:space="preserve">Distribution of the finished product, product use phase, and end-of-life treatment.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Life Cycle Accounting and Reporting Standard</w:t>
      </w:r>
      <w:r>
        <w:t xml:space="preserve">. Emissions are categorized into:</w:t>
      </w:r>
    </w:p>
    <w:p>
      <w:pPr>
        <w:numPr>
          <w:ilvl w:val="0"/>
          <w:numId w:val="1003"/>
        </w:numPr>
        <w:pStyle w:val="Compact"/>
      </w:pPr>
      <w:r>
        <w:rPr>
          <w:bCs/>
          <w:b/>
        </w:rPr>
        <w:t xml:space="preserve">Scope 1:</w:t>
      </w:r>
      <w:r>
        <w:t xml:space="preserve"> </w:t>
      </w:r>
      <w:r>
        <w:t xml:space="preserve">Direct emissions from sources owned or controlled by torppwwwmv.</w:t>
      </w:r>
    </w:p>
    <w:p>
      <w:pPr>
        <w:numPr>
          <w:ilvl w:val="0"/>
          <w:numId w:val="1003"/>
        </w:numPr>
        <w:pStyle w:val="Compact"/>
      </w:pPr>
      <w:r>
        <w:rPr>
          <w:bCs/>
          <w:b/>
        </w:rPr>
        <w:t xml:space="preserve">Scope 2:</w:t>
      </w:r>
      <w:r>
        <w:t xml:space="preserve"> </w:t>
      </w:r>
      <w:r>
        <w:t xml:space="preserve">Indirect emissions from the generation of purchased electricity, steam, heating, or cooling consumed by torppwwwmv.</w:t>
      </w:r>
    </w:p>
    <w:p>
      <w:pPr>
        <w:numPr>
          <w:ilvl w:val="0"/>
          <w:numId w:val="1003"/>
        </w:numPr>
        <w:pStyle w:val="Compact"/>
      </w:pPr>
      <w:r>
        <w:rPr>
          <w:bCs/>
          <w:b/>
        </w:rPr>
        <w:t xml:space="preserve">Scope 3:</w:t>
      </w:r>
      <w:r>
        <w:t xml:space="preserve"> </w:t>
      </w:r>
      <w:r>
        <w:t xml:space="preserve">All other indirect emissions that occur in the value chain of torppwwwmv, both upstream and downstream. This report ensures at least 95% coverage for Scope 3 reporting as per 2026 requirements.</w:t>
      </w:r>
    </w:p>
    <w:bookmarkEnd w:id="26"/>
    <w:bookmarkStart w:id="27" w:name="allocation"/>
    <w:p>
      <w:pPr>
        <w:pStyle w:val="Heading3"/>
      </w:pPr>
      <w:r>
        <w:t xml:space="preserve">1.5. Allocation</w:t>
      </w:r>
    </w:p>
    <w:p>
      <w:pPr>
        <w:pStyle w:val="FirstParagraph"/>
      </w:pPr>
      <w:r>
        <w:t xml:space="preserve">Mass allocation is used where co-products or by-products occur, distributing emissions based on the relative mass of the product. Recycled content is accounted for using the "recycled content approach" where the burden of virgin material production is assigned to the primary user, and the secondary production of recycled material carries the burden of its processing, with avoided emissions reported separately for the end-of-life phase.</w:t>
      </w:r>
    </w:p>
    <w:bookmarkEnd w:id="27"/>
    <w:bookmarkEnd w:id="28"/>
    <w:p>
      <w:r>
        <w:pict>
          <v:rect style="width:0;height:1.5pt" o:hralign="center" o:hrstd="t" o:hr="t"/>
        </w:pict>
      </w:r>
    </w:p>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various stages of the Smart Gadget X\'s lifecycle and the data collected for each stage. Due to the placeholder nature of some input parameters (e.g., "joegilfe" for BOM, "khhpxwlitn" for distance), illustrative but typical industry data and emission factors (e.g., from Ecoinvent/DEFRA) have been used for calculations, clearly stating assumptions.</w:t>
      </w:r>
    </w:p>
    <w:bookmarkStart w:id="29" w:name="X99534d3491f1be0f49b57acaf828e881b6d5c21"/>
    <w:p>
      <w:pPr>
        <w:pStyle w:val="Heading3"/>
      </w:pPr>
      <w:r>
        <w:t xml:space="preserve">2.1. Material Acquisition &amp; Processing (Upstream - Scope 3, Category 1)</w:t>
      </w:r>
    </w:p>
    <w:p>
      <w:pPr>
        <w:pStyle w:val="FirstParagraph"/>
      </w:pPr>
      <w:r>
        <w:t xml:space="preserve">The Detailed Bill of Materials (BOM) for shkzdsqted (Smart Gadget X), provided as "joegilfe," is simulated below using typical components and their associated carbon impacts. This data is critical for high-accuracy material impact calculation.</w:t>
      </w:r>
    </w:p>
    <w:p>
      <w:pPr>
        <w:pStyle w:val="BodyText"/>
      </w:pPr>
      <w:r>
        <w:rPr>
          <w:bCs/>
          <w:b/>
        </w:rPr>
        <w:t xml:space="preserve">Assumed Bill of Materials (BOM) for Smart Gadget X (based on "joegilfe"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002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0.030</w:t>
            </w:r>
          </w:p>
        </w:tc>
      </w:tr>
      <w:tr>
        <w:tc>
          <w:tcPr/>
          <w:p>
            <w:pPr>
              <w:pStyle w:val="Compact"/>
              <w:jc w:val="left"/>
            </w:pPr>
            <w:r>
              <w:t xml:space="preserve">007</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008</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gridSpan w:val="7"/>
          </w:tcPr>
          <w:p>
            <w:pPr>
              <w:pStyle w:val="Compact"/>
              <w:jc w:val="right"/>
            </w:pPr>
            <w:r>
              <w:rPr>
                <w:bCs/>
                <w:b/>
              </w:rPr>
              <w:t xml:space="preserve">Total Material Emissions:</w:t>
            </w:r>
          </w:p>
        </w:tc>
        <w:tc>
          <w:tcPr/>
          <w:p>
            <w:pPr>
              <w:pStyle w:val="Compact"/>
              <w:jc w:val="left"/>
            </w:pPr>
            <w:r>
              <w:rPr>
                <w:bCs/>
                <w:b/>
              </w:rPr>
              <w:t xml:space="preserve">6.581 kgCO2e</w:t>
            </w:r>
          </w:p>
        </w:tc>
      </w:tr>
      <w:tr>
        <w:tc>
          <w:tcPr>
            <w:gridSpan w:val="7"/>
          </w:tcPr>
          <w:p>
            <w:pPr>
              <w:pStyle w:val="Compact"/>
              <w:jc w:val="right"/>
            </w:pPr>
            <w:r>
              <w:rPr>
                <w:bCs/>
                <w:b/>
              </w:rPr>
              <w:t xml:space="preserve">Total Product Weight (approx. for transport):</w:t>
            </w:r>
          </w:p>
        </w:tc>
        <w:tc>
          <w:tcPr/>
          <w:p>
            <w:pPr>
              <w:pStyle w:val="Compact"/>
              <w:jc w:val="left"/>
            </w:pPr>
            <w:r>
              <w:rPr>
                <w:bCs/>
                <w:b/>
              </w:rPr>
              <w:t xml:space="preserve">0.59 kg</w:t>
            </w:r>
          </w:p>
        </w:tc>
      </w:tr>
    </w:tbl>
    <w:p>
      <w:pPr>
        <w:pStyle w:val="BodyText"/>
      </w:pPr>
      <w:r>
        <w:rPr>
          <w:iCs/>
          <w:i/>
        </w:rPr>
        <w:t xml:space="preserve">Note: Emission factors for materials are illustrative, based on typical industry averages (e.g., from Ecoinvent/DEFRA equivalents) for primary production processes. Specific values would be derived from actual supplier data or high-fidelity LCA databases.</w:t>
      </w:r>
    </w:p>
    <w:bookmarkEnd w:id="29"/>
    <w:bookmarkStart w:id="30" w:name="manufacturing-core---scope-1-2"/>
    <w:p>
      <w:pPr>
        <w:pStyle w:val="Heading3"/>
      </w:pPr>
      <w:r>
        <w:t xml:space="preserve">2.2. Manufacturing (Core - Scope 1 &amp; 2)</w:t>
      </w:r>
    </w:p>
    <w:p>
      <w:pPr>
        <w:numPr>
          <w:ilvl w:val="0"/>
          <w:numId w:val="1004"/>
        </w:numPr>
        <w:pStyle w:val="Compact"/>
      </w:pPr>
      <w:r>
        <w:rPr>
          <w:bCs/>
          <w:b/>
        </w:rPr>
        <w:t xml:space="preserve">Energy Intensity (kWh/unit):</w:t>
      </w:r>
      <w:r>
        <w:t xml:space="preserve"> </w:t>
      </w:r>
      <w:r>
        <w:t xml:space="preserve">nehzxlovon = 5 kWh/unit</w:t>
      </w:r>
    </w:p>
    <w:p>
      <w:pPr>
        <w:numPr>
          <w:ilvl w:val="0"/>
          <w:numId w:val="1004"/>
        </w:numPr>
        <w:pStyle w:val="Compact"/>
      </w:pPr>
      <w:r>
        <w:rPr>
          <w:bCs/>
          <w:b/>
        </w:rPr>
        <w:t xml:space="preserve">Renewable Energy Usage:</w:t>
      </w:r>
      <w:r>
        <w:t xml:space="preserve"> </w:t>
      </w:r>
      <w:r>
        <w:t xml:space="preserve">kpehunuvnu = 60%</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Assumed China Grid Emission Factor:</w:t>
      </w:r>
      <w:r>
        <w:t xml:space="preserve"> </w:t>
      </w:r>
      <w:r>
        <w:t xml:space="preserve">0.6205 kg CO2e/kWh (2023 national average)</w:t>
      </w:r>
    </w:p>
    <w:bookmarkEnd w:id="30"/>
    <w:bookmarkStart w:id="31" w:name="X4257224a22b4f16935e887c99cf14dae39f8624"/>
    <w:p>
      <w:pPr>
        <w:pStyle w:val="Heading3"/>
      </w:pPr>
      <w:r>
        <w:t xml:space="preserve">2.3. Transport &amp; Distribution (Upstream &amp; Downstream - Scope 3, Category 4 &amp; 9)</w:t>
      </w:r>
    </w:p>
    <w:p>
      <w:pPr>
        <w:numPr>
          <w:ilvl w:val="0"/>
          <w:numId w:val="1005"/>
        </w:numPr>
        <w:pStyle w:val="Compact"/>
      </w:pPr>
      <w:r>
        <w:rPr>
          <w:bCs/>
          <w:b/>
        </w:rPr>
        <w:t xml:space="preserve">Inbound Transport Mode:</w:t>
      </w:r>
      <w:r>
        <w:t xml:space="preserve"> </w:t>
      </w:r>
      <w:r>
        <w:t xml:space="preserve">Select Mode (Assumed Road Freight - HGV, Euro 6 equivalent)</w:t>
      </w:r>
    </w:p>
    <w:p>
      <w:pPr>
        <w:numPr>
          <w:ilvl w:val="0"/>
          <w:numId w:val="1005"/>
        </w:numPr>
        <w:pStyle w:val="Compact"/>
      </w:pPr>
      <w:r>
        <w:rPr>
          <w:bCs/>
          <w:b/>
        </w:rPr>
        <w:t xml:space="preserve">Transport Distance:</w:t>
      </w:r>
      <w:r>
        <w:t xml:space="preserve"> </w:t>
      </w:r>
      <w:r>
        <w:t xml:space="preserve">khhpxwlitn (Assumed 2000 km from Europe to China for components)</w:t>
      </w:r>
    </w:p>
    <w:p>
      <w:pPr>
        <w:numPr>
          <w:ilvl w:val="0"/>
          <w:numId w:val="1005"/>
        </w:numPr>
        <w:pStyle w:val="Compact"/>
      </w:pPr>
      <w:r>
        <w:rPr>
          <w:bCs/>
          <w:b/>
        </w:rPr>
        <w:t xml:space="preserve">Last-Mile Delivery Channel:</w:t>
      </w:r>
      <w:r>
        <w:t xml:space="preserve"> </w:t>
      </w:r>
      <w:r>
        <w:t xml:space="preserve">Delivery Type (Assumed Light Commercial Vehicle - LCV)</w:t>
      </w:r>
    </w:p>
    <w:p>
      <w:pPr>
        <w:numPr>
          <w:ilvl w:val="0"/>
          <w:numId w:val="1005"/>
        </w:numPr>
        <w:pStyle w:val="Compact"/>
      </w:pPr>
      <w:r>
        <w:rPr>
          <w:bCs/>
          <w:b/>
        </w:rPr>
        <w:t xml:space="preserve">Assumed Last-Mile Delivery Distance:</w:t>
      </w:r>
      <w:r>
        <w:t xml:space="preserve"> </w:t>
      </w:r>
      <w:r>
        <w:t xml:space="preserve">500 km (within Europe)</w:t>
      </w:r>
    </w:p>
    <w:p>
      <w:pPr>
        <w:numPr>
          <w:ilvl w:val="0"/>
          <w:numId w:val="1005"/>
        </w:numPr>
        <w:pStyle w:val="Compact"/>
      </w:pPr>
      <w:r>
        <w:rPr>
          <w:bCs/>
          <w:b/>
        </w:rPr>
        <w:t xml:space="preserve">Assumed HGV Emission Factor:</w:t>
      </w:r>
      <w:r>
        <w:t xml:space="preserve"> </w:t>
      </w:r>
      <w:r>
        <w:t xml:space="preserve">0.09 kg CO2e/tonne-km (illustrative, based on general DEFRA/Ecoinvent ranges)</w:t>
      </w:r>
    </w:p>
    <w:p>
      <w:pPr>
        <w:numPr>
          <w:ilvl w:val="0"/>
          <w:numId w:val="1005"/>
        </w:numPr>
        <w:pStyle w:val="Compact"/>
      </w:pPr>
      <w:r>
        <w:rPr>
          <w:bCs/>
          <w:b/>
        </w:rPr>
        <w:t xml:space="preserve">Assumed LCV Emission Factor:</w:t>
      </w:r>
      <w:r>
        <w:t xml:space="preserve"> </w:t>
      </w:r>
      <w:r>
        <w:t xml:space="preserve">0.4 kg CO2e/tonne-km (illustrative, assuming 0.2 kgCO2e/vehicle-km with 0.5 tonne load capacity)</w:t>
      </w:r>
    </w:p>
    <w:bookmarkEnd w:id="31"/>
    <w:bookmarkStart w:id="32" w:name="X01fffecb4d51cf9638741502492363d57dc681a"/>
    <w:p>
      <w:pPr>
        <w:pStyle w:val="Heading3"/>
      </w:pPr>
      <w:r>
        <w:t xml:space="preserve">2.4. Use Phase (Downstream - Scope 3, Category 11)</w:t>
      </w:r>
    </w:p>
    <w:p>
      <w:pPr>
        <w:numPr>
          <w:ilvl w:val="0"/>
          <w:numId w:val="1006"/>
        </w:numPr>
        <w:pStyle w:val="Compact"/>
      </w:pPr>
      <w:r>
        <w:rPr>
          <w:bCs/>
          <w:b/>
        </w:rPr>
        <w:t xml:space="preserve">Product Lifespan:</w:t>
      </w:r>
      <w:r>
        <w:t xml:space="preserve"> </w:t>
      </w:r>
      <w:r>
        <w:t xml:space="preserve">xyvvisynmh = 3 years</w:t>
      </w:r>
    </w:p>
    <w:p>
      <w:pPr>
        <w:numPr>
          <w:ilvl w:val="0"/>
          <w:numId w:val="1006"/>
        </w:numPr>
        <w:pStyle w:val="Compact"/>
      </w:pPr>
      <w:r>
        <w:rPr>
          <w:bCs/>
          <w:b/>
        </w:rPr>
        <w:t xml:space="preserve">Energy Consumption in Use:</w:t>
      </w:r>
      <w:r>
        <w:t xml:space="preserve"> </w:t>
      </w:r>
      <w:r>
        <w:t xml:space="preserve">mhnvnhxxmd = 10 kWh/year</w:t>
      </w:r>
    </w:p>
    <w:p>
      <w:pPr>
        <w:numPr>
          <w:ilvl w:val="0"/>
          <w:numId w:val="1006"/>
        </w:numPr>
        <w:pStyle w:val="Compact"/>
      </w:pPr>
      <w:r>
        <w:rPr>
          <w:bCs/>
          <w:b/>
        </w:rPr>
        <w:t xml:space="preserve">Geographic Scope for Use:</w:t>
      </w:r>
      <w:r>
        <w:t xml:space="preserve"> </w:t>
      </w:r>
      <w:r>
        <w:t xml:space="preserve">Europe Focused (Assumed average EU grid mix for consumption)</w:t>
      </w:r>
    </w:p>
    <w:p>
      <w:pPr>
        <w:numPr>
          <w:ilvl w:val="0"/>
          <w:numId w:val="1006"/>
        </w:numPr>
        <w:pStyle w:val="Compact"/>
      </w:pPr>
      <w:r>
        <w:rPr>
          <w:bCs/>
          <w:b/>
        </w:rPr>
        <w:t xml:space="preserve">Assumed EU Grid Emission Factor:</w:t>
      </w:r>
      <w:r>
        <w:t xml:space="preserve"> </w:t>
      </w:r>
      <w:r>
        <w:t xml:space="preserve">0.25 kg CO2e/kWh (EU-27 average)</w:t>
      </w:r>
    </w:p>
    <w:bookmarkEnd w:id="32"/>
    <w:bookmarkStart w:id="33" w:name="X7f89d00135b2cb99d8b0d40c8751bd2d45ee8b9"/>
    <w:p>
      <w:pPr>
        <w:pStyle w:val="Heading3"/>
      </w:pPr>
      <w:r>
        <w:t xml:space="preserve">2.5. End-of-Life (EoL) (Downstream - Scope 3, Category 12)</w:t>
      </w:r>
    </w:p>
    <w:p>
      <w:pPr>
        <w:numPr>
          <w:ilvl w:val="0"/>
          <w:numId w:val="1007"/>
        </w:numPr>
        <w:pStyle w:val="Compact"/>
      </w:pPr>
      <w:r>
        <w:rPr>
          <w:bCs/>
          <w:b/>
        </w:rPr>
        <w:t xml:space="preserve">Recyclability Percentage:</w:t>
      </w:r>
      <w:r>
        <w:t xml:space="preserve"> </w:t>
      </w:r>
      <w:r>
        <w:t xml:space="preserve">osdpkrrodr = 70%</w:t>
      </w:r>
    </w:p>
    <w:p>
      <w:pPr>
        <w:numPr>
          <w:ilvl w:val="0"/>
          <w:numId w:val="1007"/>
        </w:numPr>
        <w:pStyle w:val="Compact"/>
      </w:pPr>
      <w:r>
        <w:rPr>
          <w:bCs/>
          <w:b/>
        </w:rPr>
        <w:t xml:space="preserve">Circular/Take-back Programs:</w:t>
      </w:r>
      <w:r>
        <w:t xml:space="preserve"> </w:t>
      </w:r>
      <w:r>
        <w:t xml:space="preserve">zequyqrxlk = Yes, established program for battery and electronics.</w:t>
      </w:r>
    </w:p>
    <w:p>
      <w:pPr>
        <w:numPr>
          <w:ilvl w:val="0"/>
          <w:numId w:val="1007"/>
        </w:numPr>
        <w:pStyle w:val="Compact"/>
      </w:pPr>
      <w:r>
        <w:rPr>
          <w:bCs/>
          <w:b/>
        </w:rPr>
        <w:t xml:space="preserve">Assumed EoL Disposal Emission Factor (landfill/incineration for non-recycled part):</w:t>
      </w:r>
      <w:r>
        <w:t xml:space="preserve"> </w:t>
      </w:r>
      <w:r>
        <w:t xml:space="preserve">0.05 kg CO2e/kg (illustrative)</w:t>
      </w:r>
    </w:p>
    <w:p>
      <w:pPr>
        <w:numPr>
          <w:ilvl w:val="0"/>
          <w:numId w:val="1007"/>
        </w:numPr>
        <w:pStyle w:val="Compact"/>
      </w:pPr>
      <w:r>
        <w:rPr>
          <w:bCs/>
          <w:b/>
        </w:rPr>
        <w:t xml:space="preserve">Assumed Avoided Emissions from Recycling:</w:t>
      </w:r>
      <w:r>
        <w:t xml:space="preserve"> </w:t>
      </w:r>
      <w:r>
        <w:t xml:space="preserve">-0.7 kg CO2e/kg (illustrative average for mixed materials)</w:t>
      </w:r>
    </w:p>
    <w:bookmarkEnd w:id="33"/>
    <w:bookmarkStart w:id="34" w:name="X4445851c14d44f9a23021f1d53388bca2c4dd3d"/>
    <w:p>
      <w:pPr>
        <w:pStyle w:val="Heading3"/>
      </w:pPr>
      <w:r>
        <w:t xml:space="preserve">2.6. Land Sector and Removals (LSR) Standard (2026 Update)</w:t>
      </w:r>
    </w:p>
    <w:p>
      <w:pPr>
        <w:pStyle w:val="FirstParagraph"/>
      </w:pPr>
      <w:r>
        <w:t xml:space="preserve">The GHG Protocol\'s Land Sector and Removals (LSR) Standard, effective January 1, 2027, provides accounting requirements and guidance for land management, land use change, CO₂ removals, and biogenic products across the value chain. For a product like Smart Gadget X, direct land-use change emissions from its manufacturing operations are generally negligible, as the \'factory_gate\' boundary primarily covers industrial processes. However, the LSR Standard is highly relevant for upstream supply chain components if they involve agricultural products or materials with significant land-use impacts (e.g., bio-based plastics, timber). If any materials in the "joegilfe" BOM were derived from land-intensive activities, their associated emissions and potential removals (e.g., carbon sequestration in responsibly sourced bio-based materials) would be quantified and reported according to LSR requirements, reported separately from gross emissions. For this generic Smart Gadget X, without specific agricultural components in the assumed BOM, the direct application of LSR is limited to acknowledging its future relevance for more detailed supply chain assessments.</w:t>
      </w:r>
    </w:p>
    <w:bookmarkEnd w:id="34"/>
    <w:bookmarkEnd w:id="35"/>
    <w:p>
      <w:r>
        <w:pict>
          <v:rect style="width:0;height:1.5pt" o:hralign="center" o:hrstd="t" o:hr="t"/>
        </w:pict>
      </w:r>
    </w:p>
    <w:bookmarkStart w:id="45" w:name="X2c62247db19834934c44c209ad423fe06ba5c64"/>
    <w:p>
      <w:pPr>
        <w:pStyle w:val="Heading2"/>
      </w:pPr>
      <w:r>
        <w:t xml:space="preserve">4. Calculation of Emissions (Activity * Emission Factor = CO2e)</w:t>
      </w:r>
    </w:p>
    <w:p>
      <w:pPr>
        <w:pStyle w:val="FirstParagraph"/>
      </w:pPr>
      <w:r>
        <w:t xml:space="preserve">This section quantifies the greenhouse gas emissions for each lifecycle stage of Smart Gadget X, categorized by GHG Protocol Scopes.</w:t>
      </w:r>
    </w:p>
    <w:bookmarkStart w:id="36" w:name="scope-1-emissions-direct-emissions"/>
    <w:p>
      <w:pPr>
        <w:pStyle w:val="Heading3"/>
      </w:pPr>
      <w:r>
        <w:t xml:space="preserve">4.1. Scope 1 Emissions (Direct Emissions)</w:t>
      </w:r>
    </w:p>
    <w:p>
      <w:pPr>
        <w:pStyle w:val="FirstParagraph"/>
      </w:pPr>
      <w:r>
        <w:t xml:space="preserve">Given the \'factory_gate\' system boundary focus for core operations and typical electronics manufacturing, direct fuel combustion for on-site processes (Scope 1) is assumed to be negligible or covered by purchased energy for this product-level PCF. If torppwwwmv had direct fuel consumption on-site for the manufacturing of shkzdsqted, these emissions would be quantified here.</w:t>
      </w:r>
    </w:p>
    <w:p>
      <w:pPr>
        <w:numPr>
          <w:ilvl w:val="0"/>
          <w:numId w:val="1008"/>
        </w:numPr>
        <w:pStyle w:val="Compact"/>
      </w:pPr>
      <w:r>
        <w:rPr>
          <w:bCs/>
          <w:b/>
        </w:rPr>
        <w:t xml:space="preserve">Total Scope 1 Emissions: 0.00 kgCO2e</w:t>
      </w:r>
      <w:r>
        <w:t xml:space="preserve"> </w:t>
      </w:r>
      <w:r>
        <w:t xml:space="preserve">(Assumed negligible for product-level, or embedded in Scope 2 if covered by purchased utilities).</w:t>
      </w:r>
    </w:p>
    <w:bookmarkEnd w:id="36"/>
    <w:bookmarkStart w:id="37" w:name="scope-2-emissions-purchased-electricity"/>
    <w:p>
      <w:pPr>
        <w:pStyle w:val="Heading3"/>
      </w:pPr>
      <w:r>
        <w:t xml:space="preserve">4.2. Scope 2 Emissions (Purchased Electricity)</w:t>
      </w:r>
    </w:p>
    <w:p>
      <w:pPr>
        <w:pStyle w:val="FirstParagraph"/>
      </w:pPr>
      <w:r>
        <w:t xml:space="preserve">Emissions from purchased electricity for the manufacturing of Smart Gadget X in China.</w:t>
      </w:r>
    </w:p>
    <w:p>
      <w:pPr>
        <w:numPr>
          <w:ilvl w:val="0"/>
          <w:numId w:val="1009"/>
        </w:numPr>
        <w:pStyle w:val="Compact"/>
      </w:pPr>
      <w:r>
        <w:t xml:space="preserve">Energy Intensity: 5 kWh/unit</w:t>
      </w:r>
    </w:p>
    <w:p>
      <w:pPr>
        <w:numPr>
          <w:ilvl w:val="0"/>
          <w:numId w:val="1009"/>
        </w:numPr>
        <w:pStyle w:val="Compact"/>
      </w:pPr>
      <w:r>
        <w:t xml:space="preserve">Renewable Energy Usage: 60%</w:t>
      </w:r>
    </w:p>
    <w:p>
      <w:pPr>
        <w:numPr>
          <w:ilvl w:val="0"/>
          <w:numId w:val="1009"/>
        </w:numPr>
        <w:pStyle w:val="Compact"/>
      </w:pPr>
      <w:r>
        <w:t xml:space="preserve">Non-renewable electricity = 5 kWh * (1 - 0.60) = 2 kWh</w:t>
      </w:r>
    </w:p>
    <w:p>
      <w:pPr>
        <w:numPr>
          <w:ilvl w:val="0"/>
          <w:numId w:val="1009"/>
        </w:numPr>
        <w:pStyle w:val="Compact"/>
      </w:pPr>
      <w:r>
        <w:t xml:space="preserve">Emission Factor (China Grid): 0.6205 kg CO2e/kWh</w:t>
      </w:r>
    </w:p>
    <w:p>
      <w:pPr>
        <w:numPr>
          <w:ilvl w:val="0"/>
          <w:numId w:val="1009"/>
        </w:numPr>
        <w:pStyle w:val="Compact"/>
      </w:pPr>
      <w:r>
        <w:rPr>
          <w:bCs/>
          <w:b/>
        </w:rPr>
        <w:t xml:space="preserve">Calculation:</w:t>
      </w:r>
      <w:r>
        <w:t xml:space="preserve"> </w:t>
      </w:r>
      <w:r>
        <w:t xml:space="preserve">2 kWh/unit * 0.6205 kg CO2e/kWh = 1.241 kgCO2e/unit</w:t>
      </w:r>
    </w:p>
    <w:p>
      <w:pPr>
        <w:numPr>
          <w:ilvl w:val="0"/>
          <w:numId w:val="1009"/>
        </w:numPr>
        <w:pStyle w:val="Compact"/>
      </w:pPr>
      <w:r>
        <w:rPr>
          <w:bCs/>
          <w:b/>
        </w:rPr>
        <w:t xml:space="preserve">Total Scope 2 Emissions: 1.241 kgCO2e</w:t>
      </w:r>
    </w:p>
    <w:bookmarkEnd w:id="37"/>
    <w:bookmarkStart w:id="43" w:name="scope-3-emissions-value-chain"/>
    <w:p>
      <w:pPr>
        <w:pStyle w:val="Heading3"/>
      </w:pPr>
      <w:r>
        <w:t xml:space="preserve">4.3. Scope 3 Emissions (Value Chain)</w:t>
      </w:r>
    </w:p>
    <w:p>
      <w:pPr>
        <w:pStyle w:val="FirstParagraph"/>
      </w:pPr>
      <w:r>
        <w:t xml:space="preserve">Scope 3 emissions are broken down into relevant upstream and downstream categories.</w:t>
      </w:r>
    </w:p>
    <w:bookmarkStart w:id="38" w:name="X4eb318cf884fd0d5e8b1e3f55526e2cb341a877"/>
    <w:p>
      <w:pPr>
        <w:pStyle w:val="Heading4"/>
      </w:pPr>
      <w:r>
        <w:t xml:space="preserve">4.3.1. Scope 3, Category 1: Purchased Goods and Services (Materials)</w:t>
      </w:r>
    </w:p>
    <w:p>
      <w:pPr>
        <w:pStyle w:val="FirstParagraph"/>
      </w:pPr>
      <w:r>
        <w:t xml:space="preserve">Emissions associated with the extraction, production, and processing of raw materials and components based on the assumed BOM.</w:t>
      </w:r>
    </w:p>
    <w:p>
      <w:pPr>
        <w:numPr>
          <w:ilvl w:val="0"/>
          <w:numId w:val="1010"/>
        </w:numPr>
        <w:pStyle w:val="Compact"/>
      </w:pPr>
      <w:r>
        <w:rPr>
          <w:bCs/>
          <w:b/>
        </w:rPr>
        <w:t xml:space="preserve">Total Material Emissions (from BOM): 6.581 kgCO2e</w:t>
      </w:r>
    </w:p>
    <w:bookmarkEnd w:id="38"/>
    <w:bookmarkStart w:id="39" w:name="X0c46a1a99b25e095689b6b7d33179fb2f4cb54e"/>
    <w:p>
      <w:pPr>
        <w:pStyle w:val="Heading4"/>
      </w:pPr>
      <w:r>
        <w:t xml:space="preserve">4.3.2. Scope 3, Category 4: Upstream Transportation and Distribution</w:t>
      </w:r>
    </w:p>
    <w:p>
      <w:pPr>
        <w:pStyle w:val="FirstParagraph"/>
      </w:pPr>
      <w:r>
        <w:t xml:space="preserve">Emissions from transporting raw materials and components from suppliers (assumed Europe) to the manufacturing facility in China.</w:t>
      </w:r>
    </w:p>
    <w:p>
      <w:pPr>
        <w:numPr>
          <w:ilvl w:val="0"/>
          <w:numId w:val="1011"/>
        </w:numPr>
        <w:pStyle w:val="Compact"/>
      </w:pPr>
      <w:r>
        <w:t xml:space="preserve">Total Product Weight for Transport: 0.59 kg (assuming PCB unit weight is 0.05kg)</w:t>
      </w:r>
    </w:p>
    <w:p>
      <w:pPr>
        <w:numPr>
          <w:ilvl w:val="0"/>
          <w:numId w:val="1011"/>
        </w:numPr>
        <w:pStyle w:val="Compact"/>
      </w:pPr>
      <w:r>
        <w:t xml:space="preserve">Transport Distance: 2000 km</w:t>
      </w:r>
    </w:p>
    <w:p>
      <w:pPr>
        <w:numPr>
          <w:ilvl w:val="0"/>
          <w:numId w:val="1011"/>
        </w:numPr>
        <w:pStyle w:val="Compact"/>
      </w:pPr>
      <w:r>
        <w:t xml:space="preserve">Transport Mode: Road Freight (HGV)</w:t>
      </w:r>
    </w:p>
    <w:p>
      <w:pPr>
        <w:numPr>
          <w:ilvl w:val="0"/>
          <w:numId w:val="1011"/>
        </w:numPr>
        <w:pStyle w:val="Compact"/>
      </w:pPr>
      <w:r>
        <w:t xml:space="preserve">Emission Factor (HGV): 0.09 kg CO2e/tonne-km</w:t>
      </w:r>
    </w:p>
    <w:p>
      <w:pPr>
        <w:numPr>
          <w:ilvl w:val="0"/>
          <w:numId w:val="1011"/>
        </w:numPr>
        <w:pStyle w:val="Compact"/>
      </w:pPr>
      <w:r>
        <w:rPr>
          <w:bCs/>
          <w:b/>
        </w:rPr>
        <w:t xml:space="preserve">Calculation:</w:t>
      </w:r>
      <w:r>
        <w:t xml:space="preserve"> </w:t>
      </w:r>
      <w:r>
        <w:t xml:space="preserve">(0.59 kg / 1000 kg/tonne) * 2000 km * 0.09 kg CO2e/tonne-km = 0.106 kgCO2e</w:t>
      </w:r>
    </w:p>
    <w:p>
      <w:pPr>
        <w:numPr>
          <w:ilvl w:val="0"/>
          <w:numId w:val="1011"/>
        </w:numPr>
        <w:pStyle w:val="Compact"/>
      </w:pPr>
      <w:r>
        <w:rPr>
          <w:bCs/>
          <w:b/>
        </w:rPr>
        <w:t xml:space="preserve">Total Upstream Transport Emissions: 0.106 kgCO2e</w:t>
      </w:r>
    </w:p>
    <w:bookmarkEnd w:id="39"/>
    <w:bookmarkStart w:id="40" w:name="Xdd3167f562017f01e1e4cb2f66f6d2fc3f34e8f"/>
    <w:p>
      <w:pPr>
        <w:pStyle w:val="Heading4"/>
      </w:pPr>
      <w:r>
        <w:t xml:space="preserve">4.3.3. Scope 3, Category 9: Downstream Transportation and Distribution (Last-Mile Delivery)</w:t>
      </w:r>
    </w:p>
    <w:p>
      <w:pPr>
        <w:pStyle w:val="FirstParagraph"/>
      </w:pPr>
      <w:r>
        <w:t xml:space="preserve">Emissions from distributing the finished Smart Gadget X to customers in Europe.</w:t>
      </w:r>
    </w:p>
    <w:p>
      <w:pPr>
        <w:numPr>
          <w:ilvl w:val="0"/>
          <w:numId w:val="1012"/>
        </w:numPr>
        <w:pStyle w:val="Compact"/>
      </w:pPr>
      <w:r>
        <w:t xml:space="preserve">Total Product Weight for Transport: 0.59 kg</w:t>
      </w:r>
    </w:p>
    <w:p>
      <w:pPr>
        <w:numPr>
          <w:ilvl w:val="0"/>
          <w:numId w:val="1012"/>
        </w:numPr>
        <w:pStyle w:val="Compact"/>
      </w:pPr>
      <w:r>
        <w:t xml:space="preserve">Delivery Distance: 500 km</w:t>
      </w:r>
    </w:p>
    <w:p>
      <w:pPr>
        <w:numPr>
          <w:ilvl w:val="0"/>
          <w:numId w:val="1012"/>
        </w:numPr>
        <w:pStyle w:val="Compact"/>
      </w:pPr>
      <w:r>
        <w:t xml:space="preserve">Delivery Channel: Light Commercial Vehicle (LCV)</w:t>
      </w:r>
    </w:p>
    <w:p>
      <w:pPr>
        <w:numPr>
          <w:ilvl w:val="0"/>
          <w:numId w:val="1012"/>
        </w:numPr>
        <w:pStyle w:val="Compact"/>
      </w:pPr>
      <w:r>
        <w:t xml:space="preserve">Emission Factor (LCV): 0.4 kg CO2e/tonne-km (illustrative for partial load)</w:t>
      </w:r>
    </w:p>
    <w:p>
      <w:pPr>
        <w:numPr>
          <w:ilvl w:val="0"/>
          <w:numId w:val="1012"/>
        </w:numPr>
        <w:pStyle w:val="Compact"/>
      </w:pPr>
      <w:r>
        <w:rPr>
          <w:bCs/>
          <w:b/>
        </w:rPr>
        <w:t xml:space="preserve">Calculation:</w:t>
      </w:r>
      <w:r>
        <w:t xml:space="preserve"> </w:t>
      </w:r>
      <w:r>
        <w:t xml:space="preserve">(0.59 kg / 1000 kg/tonne) * 500 km * 0.4 kg CO2e/tonne-km = 0.118 kgCO2e</w:t>
      </w:r>
    </w:p>
    <w:p>
      <w:pPr>
        <w:numPr>
          <w:ilvl w:val="0"/>
          <w:numId w:val="1012"/>
        </w:numPr>
        <w:pStyle w:val="Compact"/>
      </w:pPr>
      <w:r>
        <w:rPr>
          <w:bCs/>
          <w:b/>
        </w:rPr>
        <w:t xml:space="preserve">Total Downstream Transport Emissions: 0.118 kgCO2e</w:t>
      </w:r>
    </w:p>
    <w:bookmarkEnd w:id="40"/>
    <w:bookmarkStart w:id="41" w:name="scope-3-category-11-use-of-sold-products"/>
    <w:p>
      <w:pPr>
        <w:pStyle w:val="Heading4"/>
      </w:pPr>
      <w:r>
        <w:t xml:space="preserve">4.3.4. Scope 3, Category 11: Use of Sold Products</w:t>
      </w:r>
    </w:p>
    <w:p>
      <w:pPr>
        <w:pStyle w:val="FirstParagraph"/>
      </w:pPr>
      <w:r>
        <w:t xml:space="preserve">Emissions from the energy consumed by the product during its lifespan.</w:t>
      </w:r>
    </w:p>
    <w:p>
      <w:pPr>
        <w:numPr>
          <w:ilvl w:val="0"/>
          <w:numId w:val="1013"/>
        </w:numPr>
        <w:pStyle w:val="Compact"/>
      </w:pPr>
      <w:r>
        <w:t xml:space="preserve">Product Lifespan: 3 years</w:t>
      </w:r>
    </w:p>
    <w:p>
      <w:pPr>
        <w:numPr>
          <w:ilvl w:val="0"/>
          <w:numId w:val="1013"/>
        </w:numPr>
        <w:pStyle w:val="Compact"/>
      </w:pPr>
      <w:r>
        <w:t xml:space="preserve">Energy Consumption in Use: 10 kWh/year</w:t>
      </w:r>
    </w:p>
    <w:p>
      <w:pPr>
        <w:numPr>
          <w:ilvl w:val="0"/>
          <w:numId w:val="1013"/>
        </w:numPr>
        <w:pStyle w:val="Compact"/>
      </w:pPr>
      <w:r>
        <w:t xml:space="preserve">Total Energy in Use: 3 years * 10 kWh/year = 30 kWh</w:t>
      </w:r>
    </w:p>
    <w:p>
      <w:pPr>
        <w:numPr>
          <w:ilvl w:val="0"/>
          <w:numId w:val="1013"/>
        </w:numPr>
        <w:pStyle w:val="Compact"/>
      </w:pPr>
      <w:r>
        <w:t xml:space="preserve">Emission Factor (EU Grid): 0.25 kg CO2e/kWh</w:t>
      </w:r>
    </w:p>
    <w:p>
      <w:pPr>
        <w:numPr>
          <w:ilvl w:val="0"/>
          <w:numId w:val="1013"/>
        </w:numPr>
        <w:pStyle w:val="Compact"/>
      </w:pPr>
      <w:r>
        <w:rPr>
          <w:bCs/>
          <w:b/>
        </w:rPr>
        <w:t xml:space="preserve">Calculation:</w:t>
      </w:r>
      <w:r>
        <w:t xml:space="preserve"> </w:t>
      </w:r>
      <w:r>
        <w:t xml:space="preserve">30 kWh/unit * 0.25 kg CO2e/kWh = 7.500 kgCO2e</w:t>
      </w:r>
    </w:p>
    <w:p>
      <w:pPr>
        <w:numPr>
          <w:ilvl w:val="0"/>
          <w:numId w:val="1013"/>
        </w:numPr>
        <w:pStyle w:val="Compact"/>
      </w:pPr>
      <w:r>
        <w:rPr>
          <w:bCs/>
          <w:b/>
        </w:rPr>
        <w:t xml:space="preserve">Total Use Phase Emissions: 7.500 kgCO2e</w:t>
      </w:r>
    </w:p>
    <w:bookmarkEnd w:id="41"/>
    <w:bookmarkStart w:id="42" w:name="X8a83d50c0d89d142371b1cb2678444c0262a9c4"/>
    <w:p>
      <w:pPr>
        <w:pStyle w:val="Heading4"/>
      </w:pPr>
      <w:r>
        <w:t xml:space="preserve">4.3.5. Scope 3, Category 12: End-of-Life Treatment of Sold Products</w:t>
      </w:r>
    </w:p>
    <w:p>
      <w:pPr>
        <w:pStyle w:val="FirstParagraph"/>
      </w:pPr>
      <w:r>
        <w:t xml:space="preserve">Emissions and avoided emissions associated with the product\'s end-of-life treatment.</w:t>
      </w:r>
    </w:p>
    <w:p>
      <w:pPr>
        <w:numPr>
          <w:ilvl w:val="0"/>
          <w:numId w:val="1014"/>
        </w:numPr>
        <w:pStyle w:val="Compact"/>
      </w:pPr>
      <w:r>
        <w:t xml:space="preserve">Total Product Weight: 0.59 kg</w:t>
      </w:r>
    </w:p>
    <w:p>
      <w:pPr>
        <w:numPr>
          <w:ilvl w:val="0"/>
          <w:numId w:val="1014"/>
        </w:numPr>
        <w:pStyle w:val="Compact"/>
      </w:pPr>
      <w:r>
        <w:t xml:space="preserve">Recyclability Percentage: 70%</w:t>
      </w:r>
    </w:p>
    <w:p>
      <w:pPr>
        <w:numPr>
          <w:ilvl w:val="0"/>
          <w:numId w:val="1014"/>
        </w:numPr>
        <w:pStyle w:val="Compact"/>
      </w:pPr>
      <w:r>
        <w:t xml:space="preserve">Non-recycled portion: 1 - 0.70 = 0.30 (30%)</w:t>
      </w:r>
    </w:p>
    <w:p>
      <w:pPr>
        <w:numPr>
          <w:ilvl w:val="0"/>
          <w:numId w:val="1014"/>
        </w:numPr>
        <w:pStyle w:val="Compact"/>
      </w:pPr>
      <w:r>
        <w:t xml:space="preserve">Disposal Emissions (for 30% non-recycled): 0.59 kg * 0.30 * 0.05 kg CO2e/kg = 0.00885 kgCO2e</w:t>
      </w:r>
    </w:p>
    <w:p>
      <w:pPr>
        <w:numPr>
          <w:ilvl w:val="0"/>
          <w:numId w:val="1014"/>
        </w:numPr>
        <w:pStyle w:val="Compact"/>
      </w:pPr>
      <w:r>
        <w:t xml:space="preserve">Avoided Emissions from Recycling (for 70% recycled): 0.59 kg * 0.70 * -0.7 kg CO2e/kg = -0.2891 kgCO2e</w:t>
      </w:r>
    </w:p>
    <w:p>
      <w:pPr>
        <w:numPr>
          <w:ilvl w:val="0"/>
          <w:numId w:val="1014"/>
        </w:numPr>
        <w:pStyle w:val="Compact"/>
      </w:pPr>
      <w:r>
        <w:t xml:space="preserve">Circular/Take-back Programs: Established programs enhance material recovery, increasing the effective recyclability and reducing overall EoL burden.</w:t>
      </w:r>
    </w:p>
    <w:p>
      <w:pPr>
        <w:numPr>
          <w:ilvl w:val="0"/>
          <w:numId w:val="1014"/>
        </w:numPr>
        <w:pStyle w:val="Compact"/>
      </w:pPr>
      <w:r>
        <w:rPr>
          <w:bCs/>
          <w:b/>
        </w:rPr>
        <w:t xml:space="preserve">Calculation:</w:t>
      </w:r>
      <w:r>
        <w:t xml:space="preserve"> </w:t>
      </w:r>
      <w:r>
        <w:t xml:space="preserve">0.00885 kgCO2e + (-0.2891 kgCO2e) = -0.28025 kgCO2e</w:t>
      </w:r>
    </w:p>
    <w:p>
      <w:pPr>
        <w:numPr>
          <w:ilvl w:val="0"/>
          <w:numId w:val="1014"/>
        </w:numPr>
        <w:pStyle w:val="Compact"/>
      </w:pPr>
      <w:r>
        <w:rPr>
          <w:bCs/>
          <w:b/>
        </w:rPr>
        <w:t xml:space="preserve">Total End-of-Life (Net) Emissions: -0.280 kgCO2e</w:t>
      </w:r>
    </w:p>
    <w:bookmarkEnd w:id="42"/>
    <w:bookmarkEnd w:id="43"/>
    <w:bookmarkStart w:id="44"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(Purchased Goods &amp; Services)</w:t>
            </w:r>
          </w:p>
        </w:tc>
        <w:tc>
          <w:tcPr/>
          <w:p>
            <w:pPr>
              <w:pStyle w:val="Compact"/>
              <w:jc w:val="left"/>
            </w:pPr>
            <w:r>
              <w:t xml:space="preserve">Scope 3, Category 1</w:t>
            </w:r>
          </w:p>
        </w:tc>
        <w:tc>
          <w:tcPr/>
          <w:p>
            <w:pPr>
              <w:pStyle w:val="Compact"/>
              <w:jc w:val="left"/>
            </w:pPr>
            <w:r>
              <w:t xml:space="preserve">6.581</w:t>
            </w:r>
          </w:p>
        </w:tc>
      </w:tr>
      <w:tr>
        <w:tc>
          <w:tcPr/>
          <w:p>
            <w:pPr>
              <w:pStyle w:val="Compact"/>
              <w:jc w:val="left"/>
            </w:pPr>
            <w:r>
              <w:t xml:space="preserve">Manufacturing Energy (Purchased Electricity)</w:t>
            </w:r>
          </w:p>
        </w:tc>
        <w:tc>
          <w:tcPr/>
          <w:p>
            <w:pPr>
              <w:pStyle w:val="Compact"/>
              <w:jc w:val="left"/>
            </w:pPr>
            <w:r>
              <w:t xml:space="preserve">Scope 2</w:t>
            </w:r>
          </w:p>
        </w:tc>
        <w:tc>
          <w:tcPr/>
          <w:p>
            <w:pPr>
              <w:pStyle w:val="Compact"/>
              <w:jc w:val="left"/>
            </w:pPr>
            <w:r>
              <w:t xml:space="preserve">1.241</w:t>
            </w:r>
          </w:p>
        </w:tc>
      </w:tr>
      <w:tr>
        <w:tc>
          <w:tcPr/>
          <w:p>
            <w:pPr>
              <w:pStyle w:val="Compact"/>
              <w:jc w:val="left"/>
            </w:pPr>
            <w:r>
              <w:t xml:space="preserve">Upstream Transportation (Inbound Logistics)</w:t>
            </w:r>
          </w:p>
        </w:tc>
        <w:tc>
          <w:tcPr/>
          <w:p>
            <w:pPr>
              <w:pStyle w:val="Compact"/>
              <w:jc w:val="left"/>
            </w:pPr>
            <w:r>
              <w:t xml:space="preserve">Scope 3, Category 4</w:t>
            </w:r>
          </w:p>
        </w:tc>
        <w:tc>
          <w:tcPr/>
          <w:p>
            <w:pPr>
              <w:pStyle w:val="Compact"/>
              <w:jc w:val="left"/>
            </w:pPr>
            <w:r>
              <w:t xml:space="preserve">0.106</w:t>
            </w:r>
          </w:p>
        </w:tc>
      </w:tr>
      <w:tr>
        <w:tc>
          <w:tcPr/>
          <w:p>
            <w:pPr>
              <w:pStyle w:val="Compact"/>
              <w:jc w:val="left"/>
            </w:pPr>
            <w:r>
              <w:t xml:space="preserve">Downstream Transportation (Last-Mile Delivery)</w:t>
            </w:r>
          </w:p>
        </w:tc>
        <w:tc>
          <w:tcPr/>
          <w:p>
            <w:pPr>
              <w:pStyle w:val="Compact"/>
              <w:jc w:val="left"/>
            </w:pPr>
            <w:r>
              <w:t xml:space="preserve">Scope 3, Category 9</w:t>
            </w:r>
          </w:p>
        </w:tc>
        <w:tc>
          <w:tcPr/>
          <w:p>
            <w:pPr>
              <w:pStyle w:val="Compact"/>
              <w:jc w:val="left"/>
            </w:pPr>
            <w:r>
              <w:t xml:space="preserve">0.118</w:t>
            </w:r>
          </w:p>
        </w:tc>
      </w:tr>
      <w:tr>
        <w:tc>
          <w:tcPr/>
          <w:p>
            <w:pPr>
              <w:pStyle w:val="Compact"/>
              <w:jc w:val="left"/>
            </w:pPr>
            <w:r>
              <w:t xml:space="preserve">Use of Sold Product</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 Treatment of Sold Product (Net)</w:t>
            </w:r>
          </w:p>
        </w:tc>
        <w:tc>
          <w:tcPr/>
          <w:p>
            <w:pPr>
              <w:pStyle w:val="Compact"/>
              <w:jc w:val="left"/>
            </w:pPr>
            <w:r>
              <w:t xml:space="preserve">Scope 3, Category 12</w:t>
            </w:r>
          </w:p>
        </w:tc>
        <w:tc>
          <w:tcPr/>
          <w:p>
            <w:pPr>
              <w:pStyle w:val="Compact"/>
              <w:jc w:val="left"/>
            </w:pPr>
            <w:r>
              <w:t xml:space="preserve">-0.280</w:t>
            </w:r>
          </w:p>
        </w:tc>
      </w:tr>
      <w:tr>
        <w:tc>
          <w:tcPr>
            <w:gridSpan w:val="2"/>
          </w:tcPr>
          <w:p>
            <w:pPr>
              <w:pStyle w:val="Compact"/>
              <w:jc w:val="right"/>
            </w:pPr>
            <w:r>
              <w:rPr>
                <w:bCs/>
                <w:b/>
              </w:rPr>
              <w:t xml:space="preserve">TOTAL PRODUCT CARBON FOOTPRINT (per unit Smart Gadget X):</w:t>
            </w:r>
          </w:p>
        </w:tc>
        <w:tc>
          <w:tcPr/>
          <w:p>
            <w:pPr>
              <w:pStyle w:val="Compact"/>
              <w:jc w:val="left"/>
            </w:pPr>
            <w:r>
              <w:rPr>
                <w:bCs/>
                <w:b/>
              </w:rPr>
              <w:t xml:space="preserve">15.266 kgCO2e</w:t>
            </w:r>
          </w:p>
        </w:tc>
      </w:tr>
    </w:tbl>
    <w:bookmarkEnd w:id="44"/>
    <w:bookmarkEnd w:id="45"/>
    <w:p>
      <w:r>
        <w:pict>
          <v:rect style="width:0;height:1.5pt" o:hralign="center" o:hrstd="t" o:hr="t"/>
        </w:pict>
      </w:r>
    </w:p>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PCF analysis for Smart Gadget X reveals the following emission hotspots:</w:t>
      </w:r>
    </w:p>
    <w:p>
      <w:pPr>
        <w:numPr>
          <w:ilvl w:val="0"/>
          <w:numId w:val="1015"/>
        </w:numPr>
        <w:pStyle w:val="Compact"/>
      </w:pPr>
      <w:r>
        <w:rPr>
          <w:bCs/>
          <w:b/>
        </w:rPr>
        <w:t xml:space="preserve">Use Phase (7.500 kgCO2e):</w:t>
      </w:r>
      <w:r>
        <w:t xml:space="preserve"> </w:t>
      </w:r>
      <w:r>
        <w:t xml:space="preserve">This is the most significant contributor, primarily due to the electricity consumption over the product\'s 3-year lifespan. This highlights the importance of energy efficiency in product design and encouraging renewable energy sources for end-users.</w:t>
      </w:r>
    </w:p>
    <w:p>
      <w:pPr>
        <w:numPr>
          <w:ilvl w:val="0"/>
          <w:numId w:val="1015"/>
        </w:numPr>
        <w:pStyle w:val="Compact"/>
      </w:pPr>
      <w:r>
        <w:rPr>
          <w:bCs/>
          <w:b/>
        </w:rPr>
        <w:t xml:space="preserve">Materials (6.581 kgCO2e):</w:t>
      </w:r>
      <w:r>
        <w:t xml:space="preserve"> </w:t>
      </w:r>
      <w:r>
        <w:t xml:space="preserve">The production of raw materials and components, especially high-impact items like aluminum, batteries, and silicon microchips, constitutes the second largest hotspot. Focus on sustainable material sourcing, lightweighting, and incorporating recycled content can significantly reduce this impact.</w:t>
      </w:r>
    </w:p>
    <w:p>
      <w:pPr>
        <w:numPr>
          <w:ilvl w:val="0"/>
          <w:numId w:val="1015"/>
        </w:numPr>
        <w:pStyle w:val="Compact"/>
      </w:pPr>
      <w:r>
        <w:rPr>
          <w:bCs/>
          <w:b/>
        </w:rPr>
        <w:t xml:space="preserve">Manufacturing Energy (1.241 kgCO2e):</w:t>
      </w:r>
      <w:r>
        <w:t xml:space="preserve"> </w:t>
      </w:r>
      <w:r>
        <w:t xml:space="preserve">While lower than use phase and materials, the energy consumed in the manufacturing facility, despite 60% renewable energy usage, still contributes notably. Further investment in on-site renewables or sourcing 100% certified renewable energy would reduce this.</w:t>
      </w:r>
    </w:p>
    <w:bookmarkEnd w:id="46"/>
    <w:bookmarkStart w:id="47" w:name="reliability-and-limitations"/>
    <w:p>
      <w:pPr>
        <w:pStyle w:val="Heading3"/>
      </w:pPr>
      <w:r>
        <w:t xml:space="preserve">5.2. Reliability and Limitations</w:t>
      </w:r>
    </w:p>
    <w:p>
      <w:pPr>
        <w:pStyle w:val="FirstParagraph"/>
      </w:pPr>
      <w:r>
        <w:t xml:space="preserve">The reliability of this PCF is categorized as \'medium\' due to reliance on several assumed generic emission factors and placeholder data (e.g., BOM details, transport specifics, lifespan, energy consumption) given the parameters provided. For a higher accuracy PCF, primary data from direct suppliers and operations would be required for:</w:t>
      </w:r>
    </w:p>
    <w:p>
      <w:pPr>
        <w:numPr>
          <w:ilvl w:val="0"/>
          <w:numId w:val="1016"/>
        </w:numPr>
        <w:pStyle w:val="Compact"/>
      </w:pPr>
      <w:r>
        <w:t xml:space="preserve">Specific, verified Bill of Materials (BOM) for "joegilfe" with cradle-to-gate emission factors.</w:t>
      </w:r>
    </w:p>
    <w:p>
      <w:pPr>
        <w:numPr>
          <w:ilvl w:val="0"/>
          <w:numId w:val="1016"/>
        </w:numPr>
        <w:pStyle w:val="Compact"/>
      </w:pPr>
      <w:r>
        <w:t xml:space="preserve">Precise transport modes, distances, and load factors for all inbound and outbound logistics.</w:t>
      </w:r>
    </w:p>
    <w:p>
      <w:pPr>
        <w:numPr>
          <w:ilvl w:val="0"/>
          <w:numId w:val="1016"/>
        </w:numPr>
        <w:pStyle w:val="Compact"/>
      </w:pPr>
      <w:r>
        <w:t xml:space="preserve">Country-specific grid electricity mixes for the use phase, or actual user behavior data.</w:t>
      </w:r>
    </w:p>
    <w:p>
      <w:pPr>
        <w:numPr>
          <w:ilvl w:val="0"/>
          <w:numId w:val="1016"/>
        </w:numPr>
        <w:pStyle w:val="Compact"/>
      </w:pPr>
      <w:r>
        <w:t xml:space="preserve">Detailed end-of-life scenarios, including specific recycling processes and their associated avoided emissions.</w:t>
      </w:r>
    </w:p>
    <w:p>
      <w:pPr>
        <w:pStyle w:val="FirstParagraph"/>
      </w:pPr>
      <w:r>
        <w:t xml:space="preserve">The 95% Scope 3 coverage target is met through the comprehensive inclusion of upstream and downstream categories. The consideration of the 2026 LSR update is noted, and its full application would require more specific data on land-intensive components within the supply chain.</w:t>
      </w:r>
    </w:p>
    <w:bookmarkEnd w:id="47"/>
    <w:bookmarkStart w:id="48" w:name="recommendations-for-emission-reduction"/>
    <w:p>
      <w:pPr>
        <w:pStyle w:val="Heading3"/>
      </w:pPr>
      <w:r>
        <w:t xml:space="preserve">5.3. Recommendations for Emission Reduction</w:t>
      </w:r>
    </w:p>
    <w:p>
      <w:pPr>
        <w:numPr>
          <w:ilvl w:val="0"/>
          <w:numId w:val="1017"/>
        </w:numPr>
        <w:pStyle w:val="Compact"/>
      </w:pPr>
      <w:r>
        <w:rPr>
          <w:bCs/>
          <w:b/>
        </w:rPr>
        <w:t xml:space="preserve">Product Design for Energy Efficiency:</w:t>
      </w:r>
      <w:r>
        <w:t xml:space="preserve"> </w:t>
      </w:r>
      <w:r>
        <w:t xml:space="preserve">Prioritize design innovations that drastically reduce energy consumption during the use phase.</w:t>
      </w:r>
    </w:p>
    <w:p>
      <w:pPr>
        <w:numPr>
          <w:ilvl w:val="0"/>
          <w:numId w:val="1017"/>
        </w:numPr>
        <w:pStyle w:val="Compact"/>
      </w:pPr>
      <w:r>
        <w:rPr>
          <w:bCs/>
          <w:b/>
        </w:rPr>
        <w:t xml:space="preserve">Sustainable Material Sourcing:</w:t>
      </w:r>
      <w:r>
        <w:t xml:space="preserve"> </w:t>
      </w:r>
      <w:r>
        <w:t xml:space="preserve">Explore suppliers offering low-carbon materials, increased recycled content, and materials with lower embodied carbon.</w:t>
      </w:r>
    </w:p>
    <w:p>
      <w:pPr>
        <w:numPr>
          <w:ilvl w:val="0"/>
          <w:numId w:val="1017"/>
        </w:numPr>
        <w:pStyle w:val="Compact"/>
      </w:pPr>
      <w:r>
        <w:rPr>
          <w:bCs/>
          <w:b/>
        </w:rPr>
        <w:t xml:space="preserve">Renewable Energy Transition:</w:t>
      </w:r>
      <w:r>
        <w:t xml:space="preserve"> </w:t>
      </w:r>
      <w:r>
        <w:t xml:space="preserve">Increase the percentage of renewable energy used in manufacturing operations beyond the current 60%.</w:t>
      </w:r>
    </w:p>
    <w:p>
      <w:pPr>
        <w:numPr>
          <w:ilvl w:val="0"/>
          <w:numId w:val="1017"/>
        </w:numPr>
        <w:pStyle w:val="Compact"/>
      </w:pPr>
      <w:r>
        <w:rPr>
          <w:bCs/>
          <w:b/>
        </w:rPr>
        <w:t xml:space="preserve">Optimized Logistics:</w:t>
      </w:r>
      <w:r>
        <w:t xml:space="preserve"> </w:t>
      </w:r>
      <w:r>
        <w:t xml:space="preserve">Analyze and optimize transport routes, modes (e.g., shifting from road to rail/sea where feasible), and vehicle utilization to minimize emissions.</w:t>
      </w:r>
    </w:p>
    <w:p>
      <w:pPr>
        <w:numPr>
          <w:ilvl w:val="0"/>
          <w:numId w:val="1017"/>
        </w:numPr>
        <w:pStyle w:val="Compact"/>
      </w:pPr>
      <w:r>
        <w:rPr>
          <w:bCs/>
          <w:b/>
        </w:rPr>
        <w:t xml:space="preserve">Enhance Circularity:</w:t>
      </w:r>
      <w:r>
        <w:t xml:space="preserve"> </w:t>
      </w:r>
      <w:r>
        <w:t xml:space="preserve">Strengthen take-back and recycling programs for end-of-life products, focusing on high-value material recovery and extended product lifespans.</w:t>
      </w:r>
    </w:p>
    <w:bookmarkEnd w:id="48"/>
    <w:bookmarkEnd w:id="4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Gadget X</dc:title>
  <dc:creator/>
  <dc:description>High-detail Product Carbon Footprint (PCF) analysis for shkzdsqted by nkdlsytwju, Senior Sustainability Consultant at torppwwwmv, adhering to GHG Protocol and 2026 LSR update.</dc:description>
  <dc:language>en</dc:language>
  <cp:keywords/>
  <dcterms:created xsi:type="dcterms:W3CDTF">2026-07-15T11:36:20Z</dcterms:created>
  <dcterms:modified xsi:type="dcterms:W3CDTF">2026-07-15T11:36:20Z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