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Gadget</w:t>
      </w:r>
      <w:r>
        <w:t xml:space="preserve"> </w:t>
      </w:r>
      <w:r>
        <w:t xml:space="preserve">X</w:t>
      </w:r>
      <w:r>
        <w:t xml:space="preserve"> </w:t>
      </w:r>
      <w:r>
        <w:t xml:space="preserve">(uohfdiepsh)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Gadget X (uohfdiepsh)</w:t>
      </w:r>
    </w:p>
    <w:p>
      <w:pPr>
        <w:pStyle w:val="BodyText"/>
      </w:pPr>
      <w:r>
        <w:rPr>
          <w:bCs/>
          <w:b/>
        </w:rPr>
        <w:t xml:space="preserve">Company:</w:t>
      </w:r>
      <w:r>
        <w:t xml:space="preserve"> </w:t>
      </w:r>
      <w:r>
        <w:t xml:space="preserve">qrynqtwnsv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nguwryjtxp</w:t>
      </w:r>
    </w:p>
    <w:p>
      <w:pPr>
        <w:pStyle w:val="BodyText"/>
      </w:pPr>
      <w:r>
        <w:t xml:space="preserve">This report is generated based on available data and industry standards. While every effort has been made to ensure accuracy, the actual environmental impacts may vary depending on real-time operational specifics and supply chain dynamics not fully captured by generalized emission factors.</w:t>
      </w:r>
    </w:p>
    <w:bookmarkEnd w:id="20"/>
    <w:bookmarkStart w:id="46" w:name="X9c9f24508d8e74d29b776270a420cef504580df"/>
    <w:p>
      <w:pPr>
        <w:pStyle w:val="Heading1"/>
      </w:pPr>
      <w:r>
        <w:t xml:space="preserve">Product Carbon Footprint (PCF) Analysis for Smart Gadget X (uohfdiepsh)</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Smart Gadget X (uohfdiepsh), produced by qrynqtwnsv. As Senior Sustainability Consultant nguwryjtxp, I have conducted this analysis following the Greenhouse Gas (GHG) Protocol standards, including considerations for the upcoming 2026 Land Sector and Removals (LSR) Standard update. The study focuses on a "factory-gate" system boundary with a functional unit of one (1.0) unit of Smart Gadget X. Key areas of assessment include raw material acquisition, manufacturing, transportation, use-phase energy consumption, and end-of-life scenarios, with a particular focus on Scope 3 emissions. The analysis highlights the major emission hotspots and provides a transparent overview of the product\'s environmental impact.</w:t>
      </w:r>
    </w:p>
    <w:p>
      <w:r>
        <w:pict>
          <v:rect style="width:0;height:1.5pt" o:hralign="center" o:hrstd="t" o:hr="t"/>
        </w:pict>
      </w:r>
    </w:p>
    <w:bookmarkEnd w:id="21"/>
    <w:bookmarkStart w:id="26"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 defined as:</w:t>
      </w:r>
    </w:p>
    <w:p>
      <w:pPr>
        <w:numPr>
          <w:ilvl w:val="0"/>
          <w:numId w:val="1001"/>
        </w:numPr>
        <w:pStyle w:val="Compact"/>
      </w:pPr>
      <w:r>
        <w:rPr>
          <w:bCs/>
          <w:b/>
        </w:rPr>
        <w:t xml:space="preserve">1.0 unit of Smart Gadget X (uohfdiepsh)</w:t>
      </w:r>
    </w:p>
    <w:p>
      <w:pPr>
        <w:pStyle w:val="FirstParagraph"/>
      </w:pPr>
      <w:r>
        <w:t xml:space="preserve">This unit serves as the reference flow to which all input and output data are normalized.</w:t>
      </w:r>
    </w:p>
    <w:bookmarkEnd w:id="22"/>
    <w:bookmarkStart w:id="23" w:name="system-boundary"/>
    <w:p>
      <w:pPr>
        <w:pStyle w:val="Heading3"/>
      </w:pPr>
      <w:r>
        <w:t xml:space="preserve">1.2 System Boundary</w:t>
      </w:r>
    </w:p>
    <w:p>
      <w:pPr>
        <w:pStyle w:val="FirstParagraph"/>
      </w:pPr>
      <w:r>
        <w:t xml:space="preserve">The system boundary for this PCF study is "factory_gate". This means the analysis includes all relevant upstream processes up to the point where the finished product leaves the manufacturing facility. This encompasses:</w:t>
      </w:r>
    </w:p>
    <w:p>
      <w:pPr>
        <w:numPr>
          <w:ilvl w:val="0"/>
          <w:numId w:val="1002"/>
        </w:numPr>
        <w:pStyle w:val="Compact"/>
      </w:pPr>
      <w:r>
        <w:t xml:space="preserve">Raw material extraction and processing.</w:t>
      </w:r>
    </w:p>
    <w:p>
      <w:pPr>
        <w:numPr>
          <w:ilvl w:val="0"/>
          <w:numId w:val="1002"/>
        </w:numPr>
        <w:pStyle w:val="Compact"/>
      </w:pPr>
      <w:r>
        <w:t xml:space="preserve">Component manufacturing.</w:t>
      </w:r>
    </w:p>
    <w:p>
      <w:pPr>
        <w:numPr>
          <w:ilvl w:val="0"/>
          <w:numId w:val="1002"/>
        </w:numPr>
        <w:pStyle w:val="Compact"/>
      </w:pPr>
      <w:r>
        <w:t xml:space="preserve">Transportation of raw materials and components to the factory.</w:t>
      </w:r>
    </w:p>
    <w:p>
      <w:pPr>
        <w:numPr>
          <w:ilvl w:val="0"/>
          <w:numId w:val="1002"/>
        </w:numPr>
        <w:pStyle w:val="Compact"/>
      </w:pPr>
      <w:r>
        <w:t xml:space="preserve">Manufacturing processes at the final production facility.</w:t>
      </w:r>
    </w:p>
    <w:p>
      <w:pPr>
        <w:numPr>
          <w:ilvl w:val="0"/>
          <w:numId w:val="1002"/>
        </w:numPr>
        <w:pStyle w:val="Compact"/>
      </w:pPr>
      <w:r>
        <w:t xml:space="preserve">Associated energy consumption during manufacturing.</w:t>
      </w:r>
    </w:p>
    <w:p>
      <w:pPr>
        <w:pStyle w:val="FirstParagraph"/>
      </w:pPr>
      <w:r>
        <w:t xml:space="preserve">Emissions occurring after the product leaves the factory (e.g., downstream transportation, retail, use-phase, end-of-life) are addressed as part of the broader value chain analysis within Scope 3 categories, as required by GHG Protocol for completeness, even if they fall outside the strict \'factory_gate\' direct boundary of the core PCF calculation.</w:t>
      </w:r>
    </w:p>
    <w:bookmarkEnd w:id="23"/>
    <w:bookmarkStart w:id="24" w:name="geographic-scope"/>
    <w:p>
      <w:pPr>
        <w:pStyle w:val="Heading3"/>
      </w:pPr>
      <w:r>
        <w:t xml:space="preserve">1.3 Geographic Scope</w:t>
      </w:r>
    </w:p>
    <w:p>
      <w:pPr>
        <w:pStyle w:val="FirstParagraph"/>
      </w:pPr>
      <w:r>
        <w:t xml:space="preserve">The geographic scope of the analysis is as follows:</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 initial component manufacturing often occurs in or is transported from Europe to China, or uses European-representative emission factors where specific China-based supply chain data is unavailable).</w:t>
      </w:r>
    </w:p>
    <w:bookmarkEnd w:id="24"/>
    <w:bookmarkStart w:id="25" w:name="allocation"/>
    <w:p>
      <w:pPr>
        <w:pStyle w:val="Heading3"/>
      </w:pPr>
      <w:r>
        <w:t xml:space="preserve">1.4 Allocation</w:t>
      </w:r>
    </w:p>
    <w:p>
      <w:pPr>
        <w:pStyle w:val="FirstParagraph"/>
      </w:pPr>
      <w:r>
        <w:t xml:space="preserve">Allocation of environmental impacts for co-products or multi-functional processes is primarily conducted using mass-based allocation where feasible and appropriate. For shared services or infrastructure, economic allocation or system expansion might be considered if data permits. For this specific product, direct attribution of material and energy flows to the functional unit is prioritized.</w:t>
      </w:r>
    </w:p>
    <w:p>
      <w:r>
        <w:pict>
          <v:rect style="width:0;height:1.5pt" o:hralign="center" o:hrstd="t" o:hr="t"/>
        </w:pict>
      </w:r>
    </w:p>
    <w:bookmarkEnd w:id="25"/>
    <w:bookmarkEnd w:id="26"/>
    <w:bookmarkStart w:id="32" w:name="lifecycle-mapping-and-data-collection"/>
    <w:p>
      <w:pPr>
        <w:pStyle w:val="Heading2"/>
      </w:pPr>
      <w:r>
        <w:t xml:space="preserve">2. &amp; 3. Lifecycle Mapping and Data Collection</w:t>
      </w:r>
    </w:p>
    <w:p>
      <w:pPr>
        <w:pStyle w:val="FirstParagraph"/>
      </w:pPr>
      <w:r>
        <w:t xml:space="preserve">This section details the lifecycle stages and the primary and secondary data points collected for the PCF analysis. Emission factors are sourced from industry-standard databases such as Ecoinvent and DEFRA, or derived from widely accepted scientific literature, adjusted for geographic relevance where possible.</w:t>
      </w:r>
    </w:p>
    <w:bookmarkStart w:id="27" w:name="X1428ec1d1885feb992205144a5c6ed055eb01cb"/>
    <w:p>
      <w:pPr>
        <w:pStyle w:val="Heading3"/>
      </w:pPr>
      <w:r>
        <w:t xml:space="preserve">2.1 Material Inputs (Detailed Bill of Materials - BOM)</w:t>
      </w:r>
    </w:p>
    <w:p>
      <w:pPr>
        <w:pStyle w:val="FirstParagraph"/>
      </w:pPr>
      <w:r>
        <w:t xml:space="preserve">The following Bill of Materials (BOM) for Smart Gadget X (uohfdiepsh) has been used for high-accuracy material impact calculation. The \'Emission Factor\' represents the cradle-to-gate impact of the material production.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1.600</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35.00</w:t>
            </w:r>
          </w:p>
        </w:tc>
        <w:tc>
          <w:tcPr/>
          <w:p>
            <w:pPr>
              <w:pStyle w:val="Compact"/>
              <w:jc w:val="left"/>
            </w:pPr>
            <w:r>
              <w:t xml:space="preserve">1.050</w:t>
            </w:r>
          </w:p>
        </w:tc>
      </w:tr>
      <w:tr>
        <w:tc>
          <w:tcPr/>
          <w:p>
            <w:pPr>
              <w:pStyle w:val="Compact"/>
              <w:jc w:val="left"/>
            </w:pPr>
            <w:r>
              <w:t xml:space="preserve">4</w:t>
            </w:r>
          </w:p>
        </w:tc>
        <w:tc>
          <w:tcPr/>
          <w:p>
            <w:pPr>
              <w:pStyle w:val="Compact"/>
              <w:jc w:val="left"/>
            </w:pPr>
            <w:r>
              <w:t xml:space="preserve">Plastic Components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0.350</w:t>
            </w:r>
          </w:p>
        </w:tc>
      </w:tr>
      <w:tr>
        <w:tc>
          <w:tcPr/>
          <w:p>
            <w:pPr>
              <w:pStyle w:val="Compact"/>
              <w:jc w:val="left"/>
            </w:pPr>
            <w:r>
              <w:t xml:space="preserve">5</w:t>
            </w:r>
          </w:p>
        </w:tc>
        <w:tc>
          <w:tcPr/>
          <w:p>
            <w:pPr>
              <w:pStyle w:val="Compact"/>
              <w:jc w:val="left"/>
            </w:pPr>
            <w:r>
              <w:t xml:space="preserve">Display Panel</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1.600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0.020</w:t>
            </w:r>
          </w:p>
        </w:tc>
      </w:tr>
    </w:tbl>
    <w:p>
      <w:pPr>
        <w:pStyle w:val="BodyText"/>
      </w:pPr>
      <w:r>
        <w:rPr>
          <w:bCs/>
          <w:b/>
        </w:rPr>
        <w:t xml:space="preserve">Total Emissions from Materials:</w:t>
      </w:r>
      <w:r>
        <w:t xml:space="preserve"> </w:t>
      </w:r>
      <w:r>
        <w:t xml:space="preserve">5.870 kg CO2e</w:t>
      </w:r>
    </w:p>
    <w:bookmarkEnd w:id="27"/>
    <w:bookmarkStart w:id="28" w:name="energy-inputs-production-phase"/>
    <w:p>
      <w:pPr>
        <w:pStyle w:val="Heading3"/>
      </w:pPr>
      <w:r>
        <w:t xml:space="preserve">2.2 Energy Inputs (Production Phase)</w:t>
      </w:r>
    </w:p>
    <w:p>
      <w:pPr>
        <w:pStyle w:val="FirstParagraph"/>
      </w:pPr>
      <w:r>
        <w:t xml:space="preserve">Energy consumption during the production phase in China is a significant contributor to the PCF.</w:t>
      </w:r>
    </w:p>
    <w:p>
      <w:pPr>
        <w:numPr>
          <w:ilvl w:val="0"/>
          <w:numId w:val="1004"/>
        </w:numPr>
        <w:pStyle w:val="Compact"/>
      </w:pPr>
      <w:r>
        <w:rPr>
          <w:bCs/>
          <w:b/>
        </w:rPr>
        <w:t xml:space="preserve">Energy Intensity (kWh/unit):</w:t>
      </w:r>
      <w:r>
        <w:t xml:space="preserve"> </w:t>
      </w:r>
      <w:r>
        <w:t xml:space="preserve">8 kWh/unit</w:t>
      </w:r>
    </w:p>
    <w:p>
      <w:pPr>
        <w:numPr>
          <w:ilvl w:val="0"/>
          <w:numId w:val="1004"/>
        </w:numPr>
        <w:pStyle w:val="Compact"/>
      </w:pPr>
      <w:r>
        <w:rPr>
          <w:bCs/>
          <w:b/>
        </w:rPr>
        <w:t xml:space="preserve">Renewable Energy Usage:</w:t>
      </w:r>
      <w:r>
        <w:t xml:space="preserve"> </w:t>
      </w:r>
      <w:r>
        <w:t xml:space="preserve">70%</w:t>
      </w:r>
    </w:p>
    <w:p>
      <w:pPr>
        <w:numPr>
          <w:ilvl w:val="0"/>
          <w:numId w:val="1004"/>
        </w:numPr>
        <w:pStyle w:val="Compact"/>
      </w:pPr>
      <w:r>
        <w:rPr>
          <w:bCs/>
          <w:b/>
        </w:rPr>
        <w:t xml:space="preserve">Assumed Grid Emission Factor (China):</w:t>
      </w:r>
      <w:r>
        <w:t xml:space="preserve"> </w:t>
      </w:r>
      <w:r>
        <w:t xml:space="preserve">0.70 kg CO2e/kWh (for non-renewable portion)</w:t>
      </w:r>
    </w:p>
    <w:bookmarkEnd w:id="28"/>
    <w:bookmarkStart w:id="29" w:name="transportation-logistics"/>
    <w:p>
      <w:pPr>
        <w:pStyle w:val="Heading3"/>
      </w:pPr>
      <w:r>
        <w:t xml:space="preserve">2.3 Transportation Logistics</w:t>
      </w:r>
    </w:p>
    <w:p>
      <w:pPr>
        <w:pStyle w:val="FirstParagraph"/>
      </w:pPr>
      <w:r>
        <w:t xml:space="preserve">The following logistics data has been incorporated into the supply chain analysis.</w:t>
      </w:r>
    </w:p>
    <w:p>
      <w:pPr>
        <w:numPr>
          <w:ilvl w:val="0"/>
          <w:numId w:val="1005"/>
        </w:numPr>
        <w:pStyle w:val="Compact"/>
      </w:pPr>
      <w:r>
        <w:rPr>
          <w:bCs/>
          <w:b/>
        </w:rPr>
        <w:t xml:space="preserve">Primary Transport Mode:</w:t>
      </w:r>
      <w:r>
        <w:t xml:space="preserve"> </w:t>
      </w:r>
      <w:r>
        <w:t xml:space="preserve">Road Freight (Heavy-Duty Lorry, Euro VI, Europe to China)</w:t>
      </w:r>
    </w:p>
    <w:p>
      <w:pPr>
        <w:numPr>
          <w:ilvl w:val="0"/>
          <w:numId w:val="1005"/>
        </w:numPr>
        <w:pStyle w:val="Compact"/>
      </w:pPr>
      <w:r>
        <w:rPr>
          <w:bCs/>
          <w:b/>
        </w:rPr>
        <w:t xml:space="preserve">Assumed Transport Distance:</w:t>
      </w:r>
      <w:r>
        <w:t xml:space="preserve"> </w:t>
      </w:r>
      <w:r>
        <w:t xml:space="preserve">1800 km</w:t>
      </w:r>
    </w:p>
    <w:p>
      <w:pPr>
        <w:numPr>
          <w:ilvl w:val="0"/>
          <w:numId w:val="1005"/>
        </w:numPr>
        <w:pStyle w:val="Compact"/>
      </w:pPr>
      <w:r>
        <w:rPr>
          <w:bCs/>
          <w:b/>
        </w:rPr>
        <w:t xml:space="preserve">Assumed Average Freight Weight (excluding packaging):</w:t>
      </w:r>
      <w:r>
        <w:t xml:space="preserve"> </w:t>
      </w:r>
      <w:r>
        <w:t xml:space="preserve">0.46 kg (sum of non-packaging materials)</w:t>
      </w:r>
    </w:p>
    <w:p>
      <w:pPr>
        <w:numPr>
          <w:ilvl w:val="0"/>
          <w:numId w:val="1005"/>
        </w:numPr>
        <w:pStyle w:val="Compact"/>
      </w:pPr>
      <w:r>
        <w:rPr>
          <w:bCs/>
          <w:b/>
        </w:rPr>
        <w:t xml:space="preserve">Assumed Transport Emission Factor (Road Freight):</w:t>
      </w:r>
      <w:r>
        <w:t xml:space="preserve"> </w:t>
      </w:r>
      <w:r>
        <w:t xml:space="preserve">0.08 kg CO2e/tkm (tonne-kilometer)</w:t>
      </w:r>
    </w:p>
    <w:p>
      <w:pPr>
        <w:numPr>
          <w:ilvl w:val="0"/>
          <w:numId w:val="1005"/>
        </w:numPr>
        <w:pStyle w:val="Compact"/>
      </w:pPr>
      <w:r>
        <w:rPr>
          <w:bCs/>
          <w:b/>
        </w:rPr>
        <w:t xml:space="preserve">Last-Mile Delivery Channel:</w:t>
      </w:r>
      <w:r>
        <w:t xml:space="preserve"> </w:t>
      </w:r>
      <w:r>
        <w:t xml:space="preserve">Standard Parcel Delivery Van</w:t>
      </w:r>
    </w:p>
    <w:p>
      <w:pPr>
        <w:numPr>
          <w:ilvl w:val="0"/>
          <w:numId w:val="1005"/>
        </w:numPr>
        <w:pStyle w:val="Compact"/>
      </w:pPr>
      <w:r>
        <w:rPr>
          <w:bCs/>
          <w:b/>
        </w:rPr>
        <w:t xml:space="preserve">Assumed Last-Mile Delivery Distance:</w:t>
      </w:r>
      <w:r>
        <w:t xml:space="preserve"> </w:t>
      </w:r>
      <w:r>
        <w:t xml:space="preserve">50 km (equivalent per unit)</w:t>
      </w:r>
    </w:p>
    <w:p>
      <w:pPr>
        <w:numPr>
          <w:ilvl w:val="0"/>
          <w:numId w:val="1005"/>
        </w:numPr>
        <w:pStyle w:val="Compact"/>
      </w:pPr>
      <w:r>
        <w:rPr>
          <w:bCs/>
          <w:b/>
        </w:rPr>
        <w:t xml:space="preserve">Assumed Last-Mile Emission Factor:</w:t>
      </w:r>
      <w:r>
        <w:t xml:space="preserve"> </w:t>
      </w:r>
      <w:r>
        <w:t xml:space="preserve">0.05 kg CO2e/unit-km (considering shared loads)</w:t>
      </w:r>
    </w:p>
    <w:bookmarkEnd w:id="29"/>
    <w:bookmarkStart w:id="30" w:name="use-phase-durability-and-consumption"/>
    <w:p>
      <w:pPr>
        <w:pStyle w:val="Heading3"/>
      </w:pPr>
      <w:r>
        <w:t xml:space="preserve">2.4 Use Phase Durability and Consumption</w:t>
      </w:r>
    </w:p>
    <w:p>
      <w:pPr>
        <w:pStyle w:val="FirstParagraph"/>
      </w:pPr>
      <w:r>
        <w:t xml:space="preserve">The use phase impact is calculated based on the product\'s lifespan and energy consumption during its operational life.</w:t>
      </w:r>
    </w:p>
    <w:p>
      <w:pPr>
        <w:numPr>
          <w:ilvl w:val="0"/>
          <w:numId w:val="1006"/>
        </w:numPr>
        <w:pStyle w:val="Compact"/>
      </w:pPr>
      <w:r>
        <w:rPr>
          <w:bCs/>
          <w:b/>
        </w:rPr>
        <w:t xml:space="preserve">Product Lifespan:</w:t>
      </w:r>
      <w:r>
        <w:t xml:space="preserve"> </w:t>
      </w:r>
      <w:r>
        <w:t xml:space="preserve">3 years</w:t>
      </w:r>
    </w:p>
    <w:p>
      <w:pPr>
        <w:numPr>
          <w:ilvl w:val="0"/>
          <w:numId w:val="1006"/>
        </w:numPr>
        <w:pStyle w:val="Compact"/>
      </w:pPr>
      <w:r>
        <w:rPr>
          <w:bCs/>
          <w:b/>
        </w:rPr>
        <w:t xml:space="preserve">Energy Consumption in Use:</w:t>
      </w:r>
      <w:r>
        <w:t xml:space="preserve"> </w:t>
      </w:r>
      <w:r>
        <w:t xml:space="preserve">12 kWh/year</w:t>
      </w:r>
    </w:p>
    <w:p>
      <w:pPr>
        <w:numPr>
          <w:ilvl w:val="0"/>
          <w:numId w:val="1006"/>
        </w:numPr>
        <w:pStyle w:val="Compact"/>
      </w:pPr>
      <w:r>
        <w:rPr>
          <w:bCs/>
          <w:b/>
        </w:rPr>
        <w:t xml:space="preserve">Assumed Electricity Grid Mix for Use (China):</w:t>
      </w:r>
      <w:r>
        <w:t xml:space="preserve"> </w:t>
      </w:r>
      <w:r>
        <w:t xml:space="preserve">0.70 kg CO2e/kWh (assuming product used in similar grid mix area)</w:t>
      </w:r>
    </w:p>
    <w:bookmarkEnd w:id="30"/>
    <w:bookmarkStart w:id="31" w:name="end-of-life-eol-scenarios"/>
    <w:p>
      <w:pPr>
        <w:pStyle w:val="Heading3"/>
      </w:pPr>
      <w:r>
        <w:t xml:space="preserve">2.5 End-of-Life (EoL) Scenarios</w:t>
      </w:r>
    </w:p>
    <w:p>
      <w:pPr>
        <w:pStyle w:val="FirstParagraph"/>
      </w:pPr>
      <w:r>
        <w:t xml:space="preserve">Circular economy impacts are reflected through recyclability and take-back programs.</w:t>
      </w:r>
    </w:p>
    <w:p>
      <w:pPr>
        <w:numPr>
          <w:ilvl w:val="0"/>
          <w:numId w:val="1007"/>
        </w:numPr>
        <w:pStyle w:val="Compact"/>
      </w:pPr>
      <w:r>
        <w:rPr>
          <w:bCs/>
          <w:b/>
        </w:rPr>
        <w:t xml:space="preserve">Recyclability Percentage:</w:t>
      </w:r>
      <w:r>
        <w:t xml:space="preserve"> </w:t>
      </w:r>
      <w:r>
        <w:t xml:space="preserve">75% (overall weighted average)</w:t>
      </w:r>
    </w:p>
    <w:p>
      <w:pPr>
        <w:numPr>
          <w:ilvl w:val="0"/>
          <w:numId w:val="1007"/>
        </w:numPr>
        <w:pStyle w:val="Compact"/>
      </w:pPr>
      <w:r>
        <w:rPr>
          <w:bCs/>
          <w:b/>
        </w:rPr>
        <w:t xml:space="preserve">Circular/Take-back Programs:</w:t>
      </w:r>
      <w:r>
        <w:t xml:space="preserve"> </w:t>
      </w:r>
      <w:r>
        <w:t xml:space="preserve">Established return and refurbishment program.</w:t>
      </w:r>
    </w:p>
    <w:p>
      <w:pPr>
        <w:numPr>
          <w:ilvl w:val="0"/>
          <w:numId w:val="1007"/>
        </w:numPr>
        <w:pStyle w:val="Compact"/>
      </w:pPr>
      <w:r>
        <w:rPr>
          <w:bCs/>
          <w:b/>
        </w:rPr>
        <w:t xml:space="preserve">Assumed End-of-Life Emissions Factor (non-recycled):</w:t>
      </w:r>
      <w:r>
        <w:t xml:space="preserve"> </w:t>
      </w:r>
      <w:r>
        <w:t xml:space="preserve">0.5 kg CO2e/kg (for landfilling of electronics, including methane generation from plastics)</w:t>
      </w:r>
    </w:p>
    <w:p>
      <w:pPr>
        <w:numPr>
          <w:ilvl w:val="0"/>
          <w:numId w:val="1007"/>
        </w:numPr>
        <w:pStyle w:val="Compact"/>
      </w:pPr>
      <w:r>
        <w:rPr>
          <w:bCs/>
          <w:b/>
        </w:rPr>
        <w:t xml:space="preserve">Assumed Recycling Credit/Burden:</w:t>
      </w:r>
      <w:r>
        <w:t xml:space="preserve"> </w:t>
      </w:r>
      <w:r>
        <w:t xml:space="preserve">Varies by material, for this report, a conservative average credit of -0.2 kg CO2e/kg for recycled materials is applied, reflecting avoided virgin production (e.g., recycled cardboard has 28.1% lower GHG emissions, aluminum recycling saves ~95% emissions).</w:t>
      </w:r>
    </w:p>
    <w:p>
      <w:r>
        <w:pict>
          <v:rect style="width:0;height:1.5pt" o:hralign="center" o:hrstd="t" o:hr="t"/>
        </w:pict>
      </w:r>
    </w:p>
    <w:bookmarkEnd w:id="31"/>
    <w:bookmarkEnd w:id="32"/>
    <w:bookmarkStart w:id="41"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Protocol\'s Scope 1, Scope 2, and Scope 3 framework.</w:t>
      </w:r>
    </w:p>
    <w:bookmarkStart w:id="33" w:name="scope-1-emissions-direct-emissions"/>
    <w:p>
      <w:pPr>
        <w:pStyle w:val="Heading3"/>
      </w:pPr>
      <w:r>
        <w:t xml:space="preserve">4.1 Scope 1 Emissions (Direct Emissions)</w:t>
      </w:r>
    </w:p>
    <w:p>
      <w:pPr>
        <w:pStyle w:val="FirstParagraph"/>
      </w:pPr>
      <w:r>
        <w:t xml:space="preserve">Scope 1 emissions are direct GHG emissions from sources owned or controlled by qrynqtwnsv. For this "factory_gate" PCF, assuming no direct fuel combustion within the manufacturing process for the single functional unit and rather purchased electricity is used, direct process emissions from chemical reactions are considered negligible or embedded in material production EFs. Therefore, direct operational emissions from the manufacturing facility for this specific product are considered minimal in this analysis.</w:t>
      </w:r>
    </w:p>
    <w:p>
      <w:pPr>
        <w:numPr>
          <w:ilvl w:val="0"/>
          <w:numId w:val="1008"/>
        </w:numPr>
        <w:pStyle w:val="Compact"/>
      </w:pPr>
      <w:r>
        <w:rPr>
          <w:bCs/>
          <w:b/>
        </w:rPr>
        <w:t xml:space="preserve">Estimated Scope 1 Emissions:</w:t>
      </w:r>
      <w:r>
        <w:t xml:space="preserve"> </w:t>
      </w:r>
      <w:r>
        <w:t xml:space="preserve">0.00 kg CO2e (negligible for the product-level analysis with assumed facility operations).</w:t>
      </w:r>
    </w:p>
    <w:bookmarkEnd w:id="33"/>
    <w:bookmarkStart w:id="34" w:name="scope-2-emissions-purchased-energy"/>
    <w:p>
      <w:pPr>
        <w:pStyle w:val="Heading3"/>
      </w:pPr>
      <w:r>
        <w:t xml:space="preserve">4.2 Scope 2 Emissions (Purchased Energy)</w:t>
      </w:r>
    </w:p>
    <w:p>
      <w:pPr>
        <w:pStyle w:val="FirstParagraph"/>
      </w:pPr>
      <w:r>
        <w:t xml:space="preserve">Scope 2 emissions account for indirect GHG emissions from the consumption of purchased electricity, heat, or steam. In this PCF, this primarily covers electricity used during the manufacturing of the Smart Gadget X.</w:t>
      </w:r>
    </w:p>
    <w:p>
      <w:pPr>
        <w:numPr>
          <w:ilvl w:val="0"/>
          <w:numId w:val="1009"/>
        </w:numPr>
        <w:pStyle w:val="Compact"/>
      </w:pPr>
      <w:r>
        <w:t xml:space="preserve">Total Energy Intensity: 8 kWh/unit</w:t>
      </w:r>
    </w:p>
    <w:p>
      <w:pPr>
        <w:numPr>
          <w:ilvl w:val="0"/>
          <w:numId w:val="1009"/>
        </w:numPr>
        <w:pStyle w:val="Compact"/>
      </w:pPr>
      <w:r>
        <w:t xml:space="preserve">Non-renewable portion: (100% - 70% renewable) = 30%</w:t>
      </w:r>
    </w:p>
    <w:p>
      <w:pPr>
        <w:numPr>
          <w:ilvl w:val="0"/>
          <w:numId w:val="1009"/>
        </w:numPr>
        <w:pStyle w:val="Compact"/>
      </w:pPr>
      <w:r>
        <w:t xml:space="preserve">Emissions from Purchased Electricity: 8 kWh/unit * 0.30 * 0.70 kg CO2e/kWh = 1.68 kg CO2e</w:t>
      </w:r>
    </w:p>
    <w:p>
      <w:pPr>
        <w:pStyle w:val="FirstParagraph"/>
      </w:pPr>
      <w:r>
        <w:rPr>
          <w:bCs/>
          <w:b/>
        </w:rPr>
        <w:t xml:space="preserve">Total Scope 2 Emissions:</w:t>
      </w:r>
      <w:r>
        <w:t xml:space="preserve"> </w:t>
      </w:r>
      <w:r>
        <w:t xml:space="preserve">1.68 kg CO2e</w:t>
      </w:r>
    </w:p>
    <w:bookmarkEnd w:id="34"/>
    <w:bookmarkStart w:id="37" w:name="scope-3-emissions-value-chain"/>
    <w:p>
      <w:pPr>
        <w:pStyle w:val="Heading3"/>
      </w:pPr>
      <w:r>
        <w:t xml:space="preserve">4.3 Scope 3 Emissions (Value Chain)</w:t>
      </w:r>
    </w:p>
    <w:p>
      <w:pPr>
        <w:pStyle w:val="FirstParagraph"/>
      </w:pPr>
      <w:r>
        <w:t xml:space="preserve">Scope 3 emissions are all other indirect emissions that occur in the value chain of qrynqtwnsv, both upstream and downstream. This analysis aims for at least 95% coverage for Scope 3 reporting as per 2026 requirements, capturing the most significant upstream and downstream categories.</w:t>
      </w:r>
    </w:p>
    <w:bookmarkStart w:id="35" w:name="upstream-emissions"/>
    <w:p>
      <w:pPr>
        <w:pStyle w:val="Heading4"/>
      </w:pPr>
      <w:r>
        <w:t xml:space="preserve">4.3.1 Upstream Emissions</w:t>
      </w:r>
    </w:p>
    <w:p>
      <w:pPr>
        <w:pStyle w:val="FirstParagraph"/>
      </w:pPr>
      <w:r>
        <w:t xml:space="preserve">These include emissions related to purchased goods and services, and upstream transportation and distribution.</w:t>
      </w:r>
    </w:p>
    <w:p>
      <w:pPr>
        <w:numPr>
          <w:ilvl w:val="0"/>
          <w:numId w:val="1010"/>
        </w:numPr>
        <w:pStyle w:val="Compact"/>
      </w:pPr>
      <w:r>
        <w:rPr>
          <w:bCs/>
          <w:b/>
        </w:rPr>
        <w:t xml:space="preserve">Materials Acquisition and Processing:</w:t>
      </w:r>
    </w:p>
    <w:p>
      <w:pPr>
        <w:numPr>
          <w:ilvl w:val="1"/>
          <w:numId w:val="1011"/>
        </w:numPr>
        <w:pStyle w:val="Compact"/>
      </w:pPr>
      <w:r>
        <w:t xml:space="preserve">Aluminum Casing: 0.20 kg * 8.00 kg CO2e/kg = 1.600 kg CO2e</w:t>
      </w:r>
    </w:p>
    <w:p>
      <w:pPr>
        <w:numPr>
          <w:ilvl w:val="1"/>
          <w:numId w:val="1011"/>
        </w:numPr>
        <w:pStyle w:val="Compact"/>
      </w:pPr>
      <w:r>
        <w:t xml:space="preserve">Circuit Board (PCB): 0.05 kg * 25.00 kg CO2e/kg = 1.250 kg CO2e</w:t>
      </w:r>
    </w:p>
    <w:p>
      <w:pPr>
        <w:numPr>
          <w:ilvl w:val="1"/>
          <w:numId w:val="1011"/>
        </w:numPr>
        <w:pStyle w:val="Compact"/>
      </w:pPr>
      <w:r>
        <w:t xml:space="preserve">Lithium-ion Battery: 0.03 kg * 35.00 kg CO2e/kg = 1.050 kg CO2e</w:t>
      </w:r>
    </w:p>
    <w:p>
      <w:pPr>
        <w:numPr>
          <w:ilvl w:val="1"/>
          <w:numId w:val="1011"/>
        </w:numPr>
        <w:pStyle w:val="Compact"/>
      </w:pPr>
      <w:r>
        <w:t xml:space="preserve">Plastic Components (ABS): 0.10 kg * 3.50 kg CO2e/kg = 0.350 kg CO2e</w:t>
      </w:r>
    </w:p>
    <w:p>
      <w:pPr>
        <w:numPr>
          <w:ilvl w:val="1"/>
          <w:numId w:val="1011"/>
        </w:numPr>
        <w:pStyle w:val="Compact"/>
      </w:pPr>
      <w:r>
        <w:t xml:space="preserve">Display Panel: 0.08 kg * 20.00 kg CO2e/kg = 1.600 kg CO2e</w:t>
      </w:r>
    </w:p>
    <w:p>
      <w:pPr>
        <w:numPr>
          <w:ilvl w:val="1"/>
          <w:numId w:val="1011"/>
        </w:numPr>
        <w:pStyle w:val="Compact"/>
      </w:pPr>
      <w:r>
        <w:t xml:space="preserve">Packaging (Cardboard): 0.02 kg * 1.00 kg CO2e/kg = 0.020 kg CO2e</w:t>
      </w:r>
    </w:p>
    <w:p>
      <w:pPr>
        <w:numPr>
          <w:ilvl w:val="0"/>
          <w:numId w:val="1000"/>
        </w:numPr>
        <w:pStyle w:val="Compact"/>
      </w:pPr>
      <w:r>
        <w:rPr>
          <w:bCs/>
          <w:b/>
        </w:rPr>
        <w:t xml:space="preserve">Subtotal Materials:</w:t>
      </w:r>
      <w:r>
        <w:t xml:space="preserve"> </w:t>
      </w:r>
      <w:r>
        <w:t xml:space="preserve">5.870 kg CO2e</w:t>
      </w:r>
    </w:p>
    <w:p>
      <w:pPr>
        <w:numPr>
          <w:ilvl w:val="0"/>
          <w:numId w:val="1010"/>
        </w:numPr>
        <w:pStyle w:val="Compact"/>
      </w:pPr>
      <w:r>
        <w:rPr>
          <w:bCs/>
          <w:b/>
        </w:rPr>
        <w:t xml:space="preserve">Upstream Transportation (Materials to Factory):</w:t>
      </w:r>
    </w:p>
    <w:p>
      <w:pPr>
        <w:numPr>
          <w:ilvl w:val="1"/>
          <w:numId w:val="1012"/>
        </w:numPr>
        <w:pStyle w:val="Compact"/>
      </w:pPr>
      <w:r>
        <w:t xml:space="preserve">Total Material Weight (excluding packaging): 0.20 + 0.05 + 0.03 + 0.10 + 0.08 = 0.46 kg</w:t>
      </w:r>
    </w:p>
    <w:p>
      <w:pPr>
        <w:numPr>
          <w:ilvl w:val="1"/>
          <w:numId w:val="1012"/>
        </w:numPr>
        <w:pStyle w:val="Compact"/>
      </w:pPr>
      <w:r>
        <w:t xml:space="preserve">Emissions: (0.46 kg / 1000 kg/tonne) * 1800 km * 0.08 kg CO2e/tkm = 0.066 kg CO2e</w:t>
      </w:r>
    </w:p>
    <w:p>
      <w:pPr>
        <w:numPr>
          <w:ilvl w:val="0"/>
          <w:numId w:val="1000"/>
        </w:numPr>
        <w:pStyle w:val="Compact"/>
      </w:pPr>
      <w:r>
        <w:rPr>
          <w:bCs/>
          <w:b/>
        </w:rPr>
        <w:t xml:space="preserve">Subtotal Upstream Transport:</w:t>
      </w:r>
      <w:r>
        <w:t xml:space="preserve"> </w:t>
      </w:r>
      <w:r>
        <w:t xml:space="preserve">0.066 kg CO2e</w:t>
      </w:r>
    </w:p>
    <w:p>
      <w:pPr>
        <w:pStyle w:val="FirstParagraph"/>
      </w:pPr>
      <w:r>
        <w:rPr>
          <w:bCs/>
          <w:b/>
        </w:rPr>
        <w:t xml:space="preserve">Total Upstream Scope 3 Emissions:</w:t>
      </w:r>
      <w:r>
        <w:t xml:space="preserve"> </w:t>
      </w:r>
      <w:r>
        <w:t xml:space="preserve">5.870 kg CO2e + 0.066 kg CO2e = 5.936 kg CO2e</w:t>
      </w:r>
    </w:p>
    <w:bookmarkEnd w:id="35"/>
    <w:bookmarkStart w:id="36" w:name="downstream-emissions"/>
    <w:p>
      <w:pPr>
        <w:pStyle w:val="Heading4"/>
      </w:pPr>
      <w:r>
        <w:t xml:space="preserve">4.3.2 Downstream Emissions</w:t>
      </w:r>
    </w:p>
    <w:p>
      <w:pPr>
        <w:pStyle w:val="FirstParagraph"/>
      </w:pPr>
      <w:r>
        <w:t xml:space="preserve">These include downstream transportation and distribution, use of sold products, and end-of-life treatment of sold products.</w:t>
      </w:r>
    </w:p>
    <w:p>
      <w:pPr>
        <w:numPr>
          <w:ilvl w:val="0"/>
          <w:numId w:val="1013"/>
        </w:numPr>
        <w:pStyle w:val="Compact"/>
      </w:pPr>
      <w:r>
        <w:rPr>
          <w:bCs/>
          <w:b/>
        </w:rPr>
        <w:t xml:space="preserve">Downstream Transportation (to Customer - Last-Mile):</w:t>
      </w:r>
    </w:p>
    <w:p>
      <w:pPr>
        <w:numPr>
          <w:ilvl w:val="1"/>
          <w:numId w:val="1014"/>
        </w:numPr>
        <w:pStyle w:val="Compact"/>
      </w:pPr>
      <w:r>
        <w:t xml:space="preserve">Emissions: (0.46 kg / 1000 kg/tonne) * 50 km * 0.05 kg CO2e/unit-km (simplified EF for parcel) = 0.023 kg CO2e</w:t>
      </w:r>
    </w:p>
    <w:p>
      <w:pPr>
        <w:numPr>
          <w:ilvl w:val="0"/>
          <w:numId w:val="1000"/>
        </w:numPr>
        <w:pStyle w:val="Compact"/>
      </w:pPr>
      <w:r>
        <w:rPr>
          <w:bCs/>
          <w:b/>
        </w:rPr>
        <w:t xml:space="preserve">Subtotal Downstream Transport:</w:t>
      </w:r>
      <w:r>
        <w:t xml:space="preserve"> </w:t>
      </w:r>
      <w:r>
        <w:t xml:space="preserve">0.023 kg CO2e</w:t>
      </w:r>
    </w:p>
    <w:p>
      <w:pPr>
        <w:numPr>
          <w:ilvl w:val="0"/>
          <w:numId w:val="1013"/>
        </w:numPr>
        <w:pStyle w:val="Compact"/>
      </w:pPr>
      <w:r>
        <w:rPr>
          <w:bCs/>
          <w:b/>
        </w:rPr>
        <w:t xml:space="preserve">Use of Sold Product:</w:t>
      </w:r>
    </w:p>
    <w:p>
      <w:pPr>
        <w:numPr>
          <w:ilvl w:val="1"/>
          <w:numId w:val="1015"/>
        </w:numPr>
        <w:pStyle w:val="Compact"/>
      </w:pPr>
      <w:r>
        <w:t xml:space="preserve">Annual Energy Consumption: 12 kWh/year</w:t>
      </w:r>
    </w:p>
    <w:p>
      <w:pPr>
        <w:numPr>
          <w:ilvl w:val="1"/>
          <w:numId w:val="1015"/>
        </w:numPr>
        <w:pStyle w:val="Compact"/>
      </w:pPr>
      <w:r>
        <w:t xml:space="preserve">Product Lifespan: 3 years</w:t>
      </w:r>
    </w:p>
    <w:p>
      <w:pPr>
        <w:numPr>
          <w:ilvl w:val="1"/>
          <w:numId w:val="1015"/>
        </w:numPr>
        <w:pStyle w:val="Compact"/>
      </w:pPr>
      <w:r>
        <w:t xml:space="preserve">Emissions: 12 kWh/year * 3 years * 0.70 kg CO2e/kWh = 25.20 kg CO2e</w:t>
      </w:r>
    </w:p>
    <w:p>
      <w:pPr>
        <w:numPr>
          <w:ilvl w:val="0"/>
          <w:numId w:val="1000"/>
        </w:numPr>
        <w:pStyle w:val="Compact"/>
      </w:pPr>
      <w:r>
        <w:rPr>
          <w:bCs/>
          <w:b/>
        </w:rPr>
        <w:t xml:space="preserve">Subtotal Use Phase:</w:t>
      </w:r>
      <w:r>
        <w:t xml:space="preserve"> </w:t>
      </w:r>
      <w:r>
        <w:t xml:space="preserve">25.20 kg CO2e</w:t>
      </w:r>
    </w:p>
    <w:p>
      <w:pPr>
        <w:numPr>
          <w:ilvl w:val="0"/>
          <w:numId w:val="1013"/>
        </w:numPr>
        <w:pStyle w:val="Compact"/>
      </w:pPr>
      <w:r>
        <w:rPr>
          <w:bCs/>
          <w:b/>
        </w:rPr>
        <w:t xml:space="preserve">End-of-Life Treatment of Sold Product:</w:t>
      </w:r>
    </w:p>
    <w:p>
      <w:pPr>
        <w:numPr>
          <w:ilvl w:val="1"/>
          <w:numId w:val="1016"/>
        </w:numPr>
        <w:pStyle w:val="Compact"/>
      </w:pPr>
      <w:r>
        <w:t xml:space="preserve">Total Product Weight (materials + packaging): 0.46 kg + 0.02 kg = 0.48 kg</w:t>
      </w:r>
    </w:p>
    <w:p>
      <w:pPr>
        <w:numPr>
          <w:ilvl w:val="1"/>
          <w:numId w:val="1016"/>
        </w:numPr>
        <w:pStyle w:val="Compact"/>
      </w:pPr>
      <w:r>
        <w:t xml:space="preserve">Non-recycled portion: 0.48 kg * (1 - 0.75) = 0.12 kg</w:t>
      </w:r>
    </w:p>
    <w:p>
      <w:pPr>
        <w:numPr>
          <w:ilvl w:val="1"/>
          <w:numId w:val="1016"/>
        </w:numPr>
        <w:pStyle w:val="Compact"/>
      </w:pPr>
      <w:r>
        <w:t xml:space="preserve">Recycled portion: 0.48 kg * 0.75 = 0.36 kg</w:t>
      </w:r>
    </w:p>
    <w:p>
      <w:pPr>
        <w:numPr>
          <w:ilvl w:val="1"/>
          <w:numId w:val="1016"/>
        </w:numPr>
        <w:pStyle w:val="Compact"/>
      </w:pPr>
      <w:r>
        <w:t xml:space="preserve">Emissions from non-recycled: 0.12 kg * 0.5 kg CO2e/kg = 0.06 kg CO2e</w:t>
      </w:r>
    </w:p>
    <w:p>
      <w:pPr>
        <w:numPr>
          <w:ilvl w:val="1"/>
          <w:numId w:val="1016"/>
        </w:numPr>
        <w:pStyle w:val="Compact"/>
      </w:pPr>
      <w:r>
        <w:t xml:space="preserve">Recycling credit: 0.36 kg * (-0.2 kg CO2e/kg) = -0.072 kg CO2e (assumed credit)</w:t>
      </w:r>
    </w:p>
    <w:p>
      <w:pPr>
        <w:numPr>
          <w:ilvl w:val="1"/>
          <w:numId w:val="1016"/>
        </w:numPr>
        <w:pStyle w:val="Compact"/>
      </w:pPr>
      <w:r>
        <w:t xml:space="preserve">Net EoL Emissions: 0.06 kg CO2e - 0.072 kg CO2e = -0.012 kg CO2e (small credit due to high recyclability)</w:t>
      </w:r>
    </w:p>
    <w:p>
      <w:pPr>
        <w:numPr>
          <w:ilvl w:val="0"/>
          <w:numId w:val="1000"/>
        </w:numPr>
        <w:pStyle w:val="Compact"/>
      </w:pPr>
      <w:r>
        <w:rPr>
          <w:bCs/>
          <w:b/>
        </w:rPr>
        <w:t xml:space="preserve">Subtotal End-of-Life:</w:t>
      </w:r>
      <w:r>
        <w:t xml:space="preserve"> </w:t>
      </w:r>
      <w:r>
        <w:t xml:space="preserve">-0.012 kg CO2e</w:t>
      </w:r>
    </w:p>
    <w:p>
      <w:pPr>
        <w:pStyle w:val="FirstParagraph"/>
      </w:pPr>
      <w:r>
        <w:rPr>
          <w:bCs/>
          <w:b/>
        </w:rPr>
        <w:t xml:space="preserve">Total Downstream Scope 3 Emissions:</w:t>
      </w:r>
      <w:r>
        <w:t xml:space="preserve"> </w:t>
      </w:r>
      <w:r>
        <w:t xml:space="preserve">0.023 kg CO2e + 25.20 kg CO2e - 0.012 kg CO2e = 25.211 kg CO2e</w:t>
      </w:r>
    </w:p>
    <w:bookmarkEnd w:id="36"/>
    <w:bookmarkEnd w:id="37"/>
    <w:bookmarkStart w:id="38" w:name="total-product-carbon-footprint-pcf"/>
    <w:p>
      <w:pPr>
        <w:pStyle w:val="Heading3"/>
      </w:pPr>
      <w:r>
        <w:t xml:space="preserve">4.4 Total Product Carbon Footprint (PCF)</w:t>
      </w:r>
    </w:p>
    <w:p>
      <w:pPr>
        <w:pStyle w:val="FirstParagraph"/>
      </w:pPr>
      <w:r>
        <w:t xml:space="preserve">The aggregated PCF for one functional unit of Smart Gadget X (uohfdiepsh) is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(Manufacturing Operations)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1.680</w:t>
            </w:r>
          </w:p>
        </w:tc>
        <w:tc>
          <w:tcPr/>
          <w:p>
            <w:pPr>
              <w:pStyle w:val="Compact"/>
              <w:jc w:val="left"/>
            </w:pPr>
            <w:r>
              <w:t xml:space="preserve">5.44%</w:t>
            </w:r>
          </w:p>
        </w:tc>
      </w:tr>
      <w:tr>
        <w:tc>
          <w:tcPr>
            <w:gridSpan w:val="2"/>
          </w:tcPr>
          <w:p>
            <w:pPr>
              <w:pStyle w:val="Compact"/>
              <w:jc w:val="left"/>
            </w:pPr>
            <w:r>
              <w:rPr>
                <w:bCs/>
                <w:b/>
              </w:rPr>
              <w:t xml:space="preserve">Total Operational Emissions (Scope 1 + 2)</w:t>
            </w:r>
          </w:p>
        </w:tc>
        <w:tc>
          <w:tcPr/>
          <w:p>
            <w:pPr>
              <w:pStyle w:val="Compact"/>
              <w:jc w:val="left"/>
            </w:pPr>
            <w:r>
              <w:rPr>
                <w:bCs/>
                <w:b/>
              </w:rPr>
              <w:t xml:space="preserve">1.680</w:t>
            </w:r>
          </w:p>
        </w:tc>
        <w:tc>
          <w:tcPr/>
          <w:p>
            <w:pPr>
              <w:pStyle w:val="Compact"/>
              <w:jc w:val="left"/>
            </w:pPr>
            <w:r>
              <w:rPr>
                <w:bCs/>
                <w:b/>
              </w:rPr>
              <w:t xml:space="preserve">5.44%</w:t>
            </w:r>
          </w:p>
        </w:tc>
      </w:tr>
      <w:tr>
        <w:tc>
          <w:tcPr>
            <w:vMerge w:val="restart"/>
          </w:tcPr>
          <w:p>
            <w:pPr>
              <w:pStyle w:val="Compact"/>
              <w:jc w:val="left"/>
            </w:pPr>
            <w:r>
              <w:t xml:space="preserve">Scope 3</w:t>
            </w:r>
          </w:p>
        </w:tc>
        <w:tc>
          <w:tcPr/>
          <w:p>
            <w:pPr>
              <w:pStyle w:val="Compact"/>
              <w:jc w:val="left"/>
            </w:pPr>
            <w:r>
              <w:t xml:space="preserve">Upstream: Materials Acquisition &amp; Processing</w:t>
            </w:r>
          </w:p>
        </w:tc>
        <w:tc>
          <w:tcPr/>
          <w:p>
            <w:pPr>
              <w:pStyle w:val="Compact"/>
              <w:jc w:val="left"/>
            </w:pPr>
            <w:r>
              <w:t xml:space="preserve">5.870</w:t>
            </w:r>
          </w:p>
        </w:tc>
        <w:tc>
          <w:tcPr/>
          <w:p>
            <w:pPr>
              <w:pStyle w:val="Compact"/>
              <w:jc w:val="left"/>
            </w:pPr>
            <w:r>
              <w:t xml:space="preserve">19.01%</w:t>
            </w:r>
          </w:p>
        </w:tc>
      </w:tr>
      <w:tr>
        <w:tc>
          <w:tcPr>
            <w:gridSpan w:val="1"/>
            <w:vMerge w:val="continue"/>
          </w:tcPr>
          <w:p>
            <w:pPr/>
          </w:p>
        </w:tc>
        <w:tc>
          <w:tcPr/>
          <w:p>
            <w:pPr>
              <w:pStyle w:val="Compact"/>
              <w:jc w:val="left"/>
            </w:pPr>
            <w:r>
              <w:t xml:space="preserve">Upstream: Transportation (to Factory)</w:t>
            </w:r>
          </w:p>
        </w:tc>
        <w:tc>
          <w:tcPr/>
          <w:p>
            <w:pPr>
              <w:pStyle w:val="Compact"/>
              <w:jc w:val="left"/>
            </w:pPr>
            <w:r>
              <w:t xml:space="preserve">0.066</w:t>
            </w:r>
          </w:p>
        </w:tc>
        <w:tc>
          <w:tcPr/>
          <w:p>
            <w:pPr>
              <w:pStyle w:val="Compact"/>
              <w:jc w:val="left"/>
            </w:pPr>
            <w:r>
              <w:t xml:space="preserve">0.21%</w:t>
            </w:r>
          </w:p>
        </w:tc>
      </w:tr>
      <w:tr>
        <w:tc>
          <w:tcPr>
            <w:gridSpan w:val="1"/>
            <w:vMerge w:val="continue"/>
          </w:tcPr>
          <w:p>
            <w:pPr/>
          </w:p>
        </w:tc>
        <w:tc>
          <w:tcPr/>
          <w:p>
            <w:pPr>
              <w:pStyle w:val="Compact"/>
              <w:jc w:val="left"/>
            </w:pPr>
            <w:r>
              <w:t xml:space="preserve">Downstream: Transportation (to Customer)</w:t>
            </w:r>
          </w:p>
        </w:tc>
        <w:tc>
          <w:tcPr/>
          <w:p>
            <w:pPr>
              <w:pStyle w:val="Compact"/>
              <w:jc w:val="left"/>
            </w:pPr>
            <w:r>
              <w:t xml:space="preserve">0.023</w:t>
            </w:r>
          </w:p>
        </w:tc>
        <w:tc>
          <w:tcPr/>
          <w:p>
            <w:pPr>
              <w:pStyle w:val="Compact"/>
              <w:jc w:val="left"/>
            </w:pPr>
            <w:r>
              <w:t xml:space="preserve">0.07%</w:t>
            </w:r>
          </w:p>
        </w:tc>
      </w:tr>
      <w:tr>
        <w:tc>
          <w:tcPr>
            <w:gridSpan w:val="1"/>
            <w:vMerge w:val="continue"/>
          </w:tcPr>
          <w:p>
            <w:pPr/>
          </w:p>
        </w:tc>
        <w:tc>
          <w:tcPr/>
          <w:p>
            <w:pPr>
              <w:pStyle w:val="Compact"/>
              <w:jc w:val="left"/>
            </w:pPr>
            <w:r>
              <w:t xml:space="preserve">Downstream: Use of Sold Product</w:t>
            </w:r>
          </w:p>
        </w:tc>
        <w:tc>
          <w:tcPr/>
          <w:p>
            <w:pPr>
              <w:pStyle w:val="Compact"/>
              <w:jc w:val="left"/>
            </w:pPr>
            <w:r>
              <w:t xml:space="preserve">25.200</w:t>
            </w:r>
          </w:p>
        </w:tc>
        <w:tc>
          <w:tcPr/>
          <w:p>
            <w:pPr>
              <w:pStyle w:val="Compact"/>
              <w:jc w:val="left"/>
            </w:pPr>
            <w:r>
              <w:t xml:space="preserve">81.60%</w:t>
            </w:r>
          </w:p>
        </w:tc>
      </w:tr>
      <w:tr>
        <w:tc>
          <w:tcPr/>
          <w:p>
            <w:pPr>
              <w:pStyle w:val="Compact"/>
              <w:jc w:val="left"/>
            </w:pPr>
            <w:r>
              <w:t xml:space="preserve">Scope 3 (Net)</w:t>
            </w:r>
          </w:p>
        </w:tc>
        <w:tc>
          <w:tcPr/>
          <w:p>
            <w:pPr>
              <w:pStyle w:val="Compact"/>
              <w:jc w:val="left"/>
            </w:pPr>
            <w:r>
              <w:t xml:space="preserve">Downstream: End-of-Life Treatment</w:t>
            </w:r>
          </w:p>
        </w:tc>
        <w:tc>
          <w:tcPr/>
          <w:p>
            <w:pPr>
              <w:pStyle w:val="Compact"/>
              <w:jc w:val="left"/>
            </w:pPr>
            <w:r>
              <w:t xml:space="preserve">-0.012</w:t>
            </w:r>
          </w:p>
        </w:tc>
        <w:tc>
          <w:tcPr/>
          <w:p>
            <w:pPr>
              <w:pStyle w:val="Compact"/>
              <w:jc w:val="left"/>
            </w:pPr>
            <w:r>
              <w:t xml:space="preserve">-0.04%</w:t>
            </w:r>
          </w:p>
        </w:tc>
      </w:tr>
      <w:tr>
        <w:tc>
          <w:tcPr>
            <w:gridSpan w:val="2"/>
          </w:tcPr>
          <w:p>
            <w:pPr>
              <w:pStyle w:val="Compact"/>
              <w:jc w:val="left"/>
            </w:pPr>
            <w:r>
              <w:rPr>
                <w:bCs/>
                <w:b/>
              </w:rPr>
              <w:t xml:space="preserve">Total Value Chain Emissions (Scope 3)</w:t>
            </w:r>
          </w:p>
        </w:tc>
        <w:tc>
          <w:tcPr/>
          <w:p>
            <w:pPr>
              <w:pStyle w:val="Compact"/>
              <w:jc w:val="left"/>
            </w:pPr>
            <w:r>
              <w:rPr>
                <w:bCs/>
                <w:b/>
              </w:rPr>
              <w:t xml:space="preserve">31.147</w:t>
            </w:r>
          </w:p>
        </w:tc>
        <w:tc>
          <w:tcPr/>
          <w:p>
            <w:pPr>
              <w:pStyle w:val="Compact"/>
              <w:jc w:val="left"/>
            </w:pPr>
            <w:r>
              <w:rPr>
                <w:bCs/>
                <w:b/>
              </w:rPr>
              <w:t xml:space="preserve">100.85%</w:t>
            </w:r>
          </w:p>
        </w:tc>
      </w:tr>
      <w:tr>
        <w:tc>
          <w:tcPr>
            <w:gridSpan w:val="2"/>
          </w:tcPr>
          <w:p>
            <w:pPr>
              <w:pStyle w:val="Compact"/>
              <w:jc w:val="left"/>
            </w:pPr>
            <w:r>
              <w:rPr>
                <w:bCs/>
                <w:b/>
              </w:rPr>
              <w:t xml:space="preserve">GRAND TOTAL PCF (Scope 1 + 2 + 3)</w:t>
            </w:r>
          </w:p>
        </w:tc>
        <w:tc>
          <w:tcPr/>
          <w:p>
            <w:pPr>
              <w:pStyle w:val="Compact"/>
              <w:jc w:val="left"/>
            </w:pPr>
            <w:r>
              <w:rPr>
                <w:bCs/>
                <w:b/>
              </w:rPr>
              <w:t xml:space="preserve">30.911</w:t>
            </w:r>
          </w:p>
        </w:tc>
        <w:tc>
          <w:tcPr/>
          <w:p>
            <w:pPr>
              <w:pStyle w:val="Compact"/>
              <w:jc w:val="left"/>
            </w:pPr>
            <w:r>
              <w:rPr>
                <w:bCs/>
                <w:b/>
              </w:rPr>
              <w:t xml:space="preserve">100.00%</w:t>
            </w:r>
          </w:p>
        </w:tc>
      </w:tr>
    </w:tbl>
    <w:p>
      <w:pPr>
        <w:pStyle w:val="BodyText"/>
      </w:pPr>
      <w:r>
        <w:rPr>
          <w:iCs/>
          <w:i/>
        </w:rPr>
        <w:t xml:space="preserve">Note: Percentages may not sum to exactly 100% due to rounding and the negative EoL impact.</w:t>
      </w:r>
    </w:p>
    <w:bookmarkEnd w:id="38"/>
    <w:bookmarkStart w:id="39" w:name="X7fc55497565ff523e22dc118b8185658f7b9ce1"/>
    <w:p>
      <w:pPr>
        <w:pStyle w:val="Heading3"/>
      </w:pPr>
      <w:r>
        <w:t xml:space="preserve">4.5 Application of 2026 Land Sector and Removals (LSR) Standard</w:t>
      </w:r>
    </w:p>
    <w:p>
      <w:pPr>
        <w:pStyle w:val="FirstParagraph"/>
      </w:pPr>
      <w:r>
        <w:t xml:space="preserve">The GHG Protocol\'s Land Sector and Removals (LSR) Standard, released on January 30, 2026, and taking effect on January 1, 2027, provides enhanced requirements for quantifying, reporting, and tracking land emissions and CO2 removals. While direct land-use change and land management activities specific to the product\'s upstream raw material extraction (e.g., mining for metals, agriculture for bio-based plastics) are not explicitly detailed at a granular level in the provided parameters, this analysis acknowledges the importance of the LSR Standard. Future iterations of this PCF should aim to integrate more specific data on land-use impacts within the supply chain, especially for materials with significant agricultural or forestry origins. The LSR Standard also offers guidance for reporting technological CO2 removals, which are currently not directly applicable to this product\'s lifecycle but could be relevant for broader corporate sustainability strategies.</w:t>
      </w:r>
    </w:p>
    <w:bookmarkEnd w:id="39"/>
    <w:bookmarkStart w:id="40" w:name="scope-3-coverage-compliance"/>
    <w:p>
      <w:pPr>
        <w:pStyle w:val="Heading3"/>
      </w:pPr>
      <w:r>
        <w:t xml:space="preserve">4.6 Scope 3 Coverage Compliance</w:t>
      </w:r>
    </w:p>
    <w:p>
      <w:pPr>
        <w:pStyle w:val="FirstParagraph"/>
      </w:pPr>
      <w:r>
        <w:t xml:space="preserve">This analysis has strived to achieve comprehensive coverage of Scope 3 emissions categories relevant to the Smart Gadget X (uohfdiepsh). By including purchased goods and services (materials), upstream and downstream transportation, use of sold products, and end-of-life treatment, the report aims to meet or exceed the 95% coverage requirement for Scope 3 reporting as per 2026 guidelines. The primary drivers of the product\'s carbon footprint are captured, ensuring material completeness.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major emission hotspots for the Smart Gadget X:</w:t>
      </w:r>
    </w:p>
    <w:p>
      <w:pPr>
        <w:numPr>
          <w:ilvl w:val="0"/>
          <w:numId w:val="1017"/>
        </w:numPr>
        <w:pStyle w:val="Compact"/>
      </w:pPr>
      <w:r>
        <w:rPr>
          <w:bCs/>
          <w:b/>
        </w:rPr>
        <w:t xml:space="preserve">Use Phase (81.60%):</w:t>
      </w:r>
      <w:r>
        <w:t xml:space="preserve"> </w:t>
      </w:r>
      <w:r>
        <w:t xml:space="preserve">The most significant hotspot is the energy consumption during the product\'s operational lifespan. Given the assumed electricity grid mix of China (0.70 kg CO2e/kWh), the energy consumed over 3 years accounts for over 80% of the total PCF. This highlights the critical importance of energy efficiency and the decarbonization of electricity grids where the product is used.</w:t>
      </w:r>
    </w:p>
    <w:p>
      <w:pPr>
        <w:numPr>
          <w:ilvl w:val="0"/>
          <w:numId w:val="1017"/>
        </w:numPr>
        <w:pStyle w:val="Compact"/>
      </w:pPr>
      <w:r>
        <w:rPr>
          <w:bCs/>
          <w:b/>
        </w:rPr>
        <w:t xml:space="preserve">Materials Acquisition &amp; Processing (19.01%):</w:t>
      </w:r>
      <w:r>
        <w:t xml:space="preserve"> </w:t>
      </w:r>
      <w:r>
        <w:t xml:space="preserve">The production of raw materials, particularly the display panel, aluminum casing, and lithium-ion battery, contributes substantially to the upstream footprint. These materials are energy-intensive to produce.</w:t>
      </w:r>
    </w:p>
    <w:p>
      <w:pPr>
        <w:numPr>
          <w:ilvl w:val="0"/>
          <w:numId w:val="1017"/>
        </w:numPr>
        <w:pStyle w:val="Compact"/>
      </w:pPr>
      <w:r>
        <w:rPr>
          <w:bCs/>
          <w:b/>
        </w:rPr>
        <w:t xml:space="preserve">Manufacturing Energy (Scope 2, 5.44%):</w:t>
      </w:r>
      <w:r>
        <w:t xml:space="preserve"> </w:t>
      </w:r>
      <w:r>
        <w:t xml:space="preserve">While a 70% renewable energy usage is commendable, the remaining 30% from the grid still contributes notably to the factory-gate emissions.</w:t>
      </w:r>
    </w:p>
    <w:p>
      <w:pPr>
        <w:numPr>
          <w:ilvl w:val="0"/>
          <w:numId w:val="1017"/>
        </w:numPr>
        <w:pStyle w:val="Compact"/>
      </w:pPr>
      <w:r>
        <w:rPr>
          <w:bCs/>
          <w:b/>
        </w:rPr>
        <w:t xml:space="preserve">Transportation (Upstream &amp; Downstream, &lt;1%):</w:t>
      </w:r>
      <w:r>
        <w:t xml:space="preserve"> </w:t>
      </w:r>
      <w:r>
        <w:t xml:space="preserve">Both primary transport of materials and last-mile delivery, while contributing, are relatively minor compared to the use phase and materials.</w:t>
      </w:r>
    </w:p>
    <w:bookmarkEnd w:id="42"/>
    <w:bookmarkStart w:id="43" w:name="reliability-of-data"/>
    <w:p>
      <w:pPr>
        <w:pStyle w:val="Heading3"/>
      </w:pPr>
      <w:r>
        <w:t xml:space="preserve">5.2 Reliability of Data</w:t>
      </w:r>
    </w:p>
    <w:p>
      <w:pPr>
        <w:pStyle w:val="FirstParagraph"/>
      </w:pPr>
      <w:r>
        <w:t xml:space="preserve">The reliability of this PCF analysis is based on the following:</w:t>
      </w:r>
    </w:p>
    <w:p>
      <w:pPr>
        <w:numPr>
          <w:ilvl w:val="0"/>
          <w:numId w:val="1018"/>
        </w:numPr>
        <w:pStyle w:val="Compact"/>
      </w:pPr>
      <w:r>
        <w:rPr>
          <w:bCs/>
          <w:b/>
        </w:rPr>
        <w:t xml:space="preserve">Primary Data:</w:t>
      </w:r>
      <w:r>
        <w:t xml:space="preserve"> </w:t>
      </w:r>
      <w:r>
        <w:t xml:space="preserve">Explicitly provided data for BOM, energy usage, transport distance, lifespan, and recyclability.</w:t>
      </w:r>
    </w:p>
    <w:p>
      <w:pPr>
        <w:numPr>
          <w:ilvl w:val="0"/>
          <w:numId w:val="1018"/>
        </w:numPr>
        <w:pStyle w:val="Compact"/>
      </w:pPr>
      <w:r>
        <w:rPr>
          <w:bCs/>
          <w:b/>
        </w:rPr>
        <w:t xml:space="preserve">Secondary Data:</w:t>
      </w:r>
      <w:r>
        <w:t xml:space="preserve"> </w:t>
      </w:r>
      <w:r>
        <w:t xml:space="preserve">Industry-standard emission factors from reputable sources like Ecoinvent and DEFRA, or scientific literature, applied for material production, energy grids, and transportation. Assumptions have been made where specific data was not available, particularly for generic emission factors in categories like PCB, display panels, and for assumed logistics details.</w:t>
      </w:r>
    </w:p>
    <w:p>
      <w:pPr>
        <w:numPr>
          <w:ilvl w:val="0"/>
          <w:numId w:val="1018"/>
        </w:numPr>
        <w:pStyle w:val="Compact"/>
      </w:pPr>
      <w:r>
        <w:rPr>
          <w:bCs/>
          <w:b/>
        </w:rPr>
        <w:t xml:space="preserve">Accounting Standard:</w:t>
      </w:r>
      <w:r>
        <w:t xml:space="preserve"> </w:t>
      </w:r>
      <w:r>
        <w:t xml:space="preserve">Strict adherence to the GHG Protocol ensures a standardized and verifiable approach.</w:t>
      </w:r>
    </w:p>
    <w:p>
      <w:pPr>
        <w:pStyle w:val="FirstParagraph"/>
      </w:pPr>
      <w:r>
        <w:t xml:space="preserve">The accuracy could be further enhanced by incorporating more primary data from specific suppliers for material production and transportation, as well as actual electricity consumption data during the use phase across diverse geographic markets.</w:t>
      </w:r>
    </w:p>
    <w:bookmarkEnd w:id="43"/>
    <w:bookmarkStart w:id="44" w:name="recommendations"/>
    <w:p>
      <w:pPr>
        <w:pStyle w:val="Heading3"/>
      </w:pPr>
      <w:r>
        <w:t xml:space="preserve">5.3 Recommendations</w:t>
      </w:r>
    </w:p>
    <w:p>
      <w:pPr>
        <w:pStyle w:val="FirstParagraph"/>
      </w:pPr>
      <w:r>
        <w:t xml:space="preserve">Based on this PCF analysis, qrynqtwnsv should consider the following to further reduce the carbon footprint of Smart Gadget X:</w:t>
      </w:r>
    </w:p>
    <w:p>
      <w:pPr>
        <w:numPr>
          <w:ilvl w:val="0"/>
          <w:numId w:val="1019"/>
        </w:numPr>
        <w:pStyle w:val="Compact"/>
      </w:pPr>
      <w:r>
        <w:rPr>
          <w:bCs/>
          <w:b/>
        </w:rPr>
        <w:t xml:space="preserve">Enhance Use-Phase Efficiency:</w:t>
      </w:r>
      <w:r>
        <w:t xml:space="preserve"> </w:t>
      </w:r>
      <w:r>
        <w:t xml:space="preserve">Focus on designing products with even greater energy efficiency to reduce electricity consumption during use. Investigate opportunities for the product to operate on lower-carbon grids or encourage renewable energy adoption by end-users.</w:t>
      </w:r>
    </w:p>
    <w:p>
      <w:pPr>
        <w:numPr>
          <w:ilvl w:val="0"/>
          <w:numId w:val="1019"/>
        </w:numPr>
        <w:pStyle w:val="Compact"/>
      </w:pPr>
      <w:r>
        <w:rPr>
          <w:bCs/>
          <w:b/>
        </w:rPr>
        <w:t xml:space="preserve">Optimize Material Sourcing:</w:t>
      </w:r>
      <w:r>
        <w:t xml:space="preserve"> </w:t>
      </w:r>
      <w:r>
        <w:t xml:space="preserve">Explore suppliers for aluminum, PCBs, and batteries that have lower carbon footprints in their production processes, potentially by utilizing renewable energy or more efficient manufacturing techniques. Increase the use of recycled content where possible.</w:t>
      </w:r>
    </w:p>
    <w:p>
      <w:pPr>
        <w:numPr>
          <w:ilvl w:val="0"/>
          <w:numId w:val="1019"/>
        </w:numPr>
        <w:pStyle w:val="Compact"/>
      </w:pPr>
      <w:r>
        <w:rPr>
          <w:bCs/>
          <w:b/>
        </w:rPr>
        <w:t xml:space="preserve">Expand Renewable Energy in Manufacturing:</w:t>
      </w:r>
      <w:r>
        <w:t xml:space="preserve"> </w:t>
      </w:r>
      <w:r>
        <w:t xml:space="preserve">Further increase the percentage of renewable energy used in owned or controlled manufacturing facilities.</w:t>
      </w:r>
    </w:p>
    <w:p>
      <w:pPr>
        <w:numPr>
          <w:ilvl w:val="0"/>
          <w:numId w:val="1019"/>
        </w:numPr>
        <w:pStyle w:val="Compact"/>
      </w:pPr>
      <w:r>
        <w:rPr>
          <w:bCs/>
          <w:b/>
        </w:rPr>
        <w:t xml:space="preserve">Strengthen Circularity:</w:t>
      </w:r>
      <w:r>
        <w:t xml:space="preserve"> </w:t>
      </w:r>
      <w:r>
        <w:t xml:space="preserve">Leverage the "Established return and refurbishment program" (wqwfnnlxkq) to extend product lifespan and reduce the need for new material extraction. Actively promote and facilitate the high recyclability percentage (skgjgupotq).</w:t>
      </w:r>
    </w:p>
    <w:p>
      <w:pPr>
        <w:numPr>
          <w:ilvl w:val="0"/>
          <w:numId w:val="1019"/>
        </w:numPr>
        <w:pStyle w:val="Compact"/>
      </w:pPr>
      <w:r>
        <w:rPr>
          <w:bCs/>
          <w:b/>
        </w:rPr>
        <w:t xml:space="preserve">Deepen Supply Chain Engagement:</w:t>
      </w:r>
      <w:r>
        <w:t xml:space="preserve"> </w:t>
      </w:r>
      <w:r>
        <w:t xml:space="preserve">Work with upstream suppliers to collect more granular primary data on their emissions, especially concerning Scope 3 categories and potential land-use impacts under the new LSR Standard.</w:t>
      </w:r>
    </w:p>
    <w:p>
      <w:pPr>
        <w:pStyle w:val="FirstParagraph"/>
      </w:pPr>
      <w:r>
        <w:t xml:space="preserve">Confidential - Internal Use Only | Page</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Gadget X (uohfdiepsh)</dc:title>
  <dc:creator/>
  <dc:description>Detailed Product Carbon Footprint (PCF) analysis report for \'uohfdiepsh\' conducted by Senior Sustainability Consultant nguwryjtxp for qrynqtwnsv, adhering to GHG Protocol standards and including 2026 LSR updates.</dc:description>
  <dc:language>en</dc:language>
  <cp:keywords/>
  <dcterms:created xsi:type="dcterms:W3CDTF">2026-05-30T22:57:55Z</dcterms:created>
  <dcterms:modified xsi:type="dcterms:W3CDTF">2026-05-30T22:57:55Z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