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Device</w:t>
      </w:r>
      <w:r>
        <w:t xml:space="preserve"> </w:t>
      </w:r>
      <w:r>
        <w:t xml:space="preserve">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Smart Device X</w:t>
      </w:r>
    </w:p>
    <w:p>
      <w:pPr>
        <w:pStyle w:val="BodyText"/>
      </w:pPr>
      <w:r>
        <w:rPr>
          <w:bCs/>
          <w:b/>
        </w:rPr>
        <w:t xml:space="preserve">Company Name:</w:t>
      </w:r>
      <w:r>
        <w:t xml:space="preserve"> </w:t>
      </w:r>
      <w:r>
        <w:t xml:space="preserve">Global Tech Innovations Ltd.</w:t>
      </w:r>
    </w:p>
    <w:p>
      <w:pPr>
        <w:pStyle w:val="BodyText"/>
      </w:pPr>
      <w:r>
        <w:rPr>
          <w:bCs/>
          <w:b/>
        </w:rPr>
        <w:t xml:space="preserve">Senior Sustainability Consultant:</w:t>
      </w:r>
      <w:r>
        <w:t xml:space="preserve"> </w:t>
      </w:r>
      <w:r>
        <w:t xml:space="preserve">Dr. Anya Sharma</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intended for internal strategic planning and sustainability reporting. While every effort has been made to ensure accuracy, the actual environmental impacts may vary.</w:t>
      </w:r>
    </w:p>
    <w:bookmarkEnd w:id="20"/>
    <w:bookmarkStart w:id="46"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Smart Device X, manufactured by Global Tech Innovations Ltd. The analysis adheres strictly to the GHG Protocol standards, incorporating the 2026 Land Sector and Removals (LSR) update and ensuring robust Scope 3 compliance. This study aims to quantify greenhouse gas (GHG) emissions across the product\'s lifecycle, from material acquisition to end-of-life, identify emission hotspots, and provide a foundation for strategic decarbonization efforts.</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As Senior Sustainability Consultant zxsddptxzl, I have performed a comprehensive Product Carbon Footprint (PCF) analysis for opmfiyxfyv (Smart Device X) on behalf of dtdqetmhfu (Global Tech Innovations Ltd.). This report details the methodology, data, and results of the PCF, calculated according to the GHG Protocol. The goal is to provide a transparent and actionable assessment of the product\'s environmental impact, focusing on its carbon emissions throughout its lifecycle.</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followed the five-step methodology recommended by the GHG Protocol. This approach ensures a systematic and comprehensive assessment of all relevant greenhouse gas emissions.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1.0 unit of Smart Device X.</w:t>
      </w:r>
    </w:p>
    <w:p>
      <w:pPr>
        <w:numPr>
          <w:ilvl w:val="0"/>
          <w:numId w:val="1001"/>
        </w:numPr>
        <w:pStyle w:val="Compact"/>
      </w:pPr>
      <w:r>
        <w:rPr>
          <w:bCs/>
          <w:b/>
        </w:rPr>
        <w:t xml:space="preserve">System Boundary:</w:t>
      </w:r>
      <w:r>
        <w:t xml:space="preserve"> </w:t>
      </w:r>
      <w:r>
        <w:t xml:space="preserve">The system boundary is defined as "cradle-to-gate with End-of-Life considerations". This includes material acquisition, pre-processing, product manufacturing, initial transport to a distribution hub, and explicitly considers the use phase and end-of-life treatment.</w:t>
      </w:r>
    </w:p>
    <w:p>
      <w:pPr>
        <w:numPr>
          <w:ilvl w:val="0"/>
          <w:numId w:val="1001"/>
        </w:numPr>
        <w:pStyle w:val="Compact"/>
      </w:pPr>
      <w:r>
        <w:rPr>
          <w:bCs/>
          <w:b/>
        </w:rPr>
        <w:t xml:space="preserve">Geographic Scope:</w:t>
      </w:r>
      <w:r>
        <w:t xml:space="preserve"> </w:t>
      </w:r>
      <w:r>
        <w:t xml:space="preserve">The final production country is China, with a supply chain focus on Europe for inbound materials and distribution.</w:t>
      </w:r>
    </w:p>
    <w:p>
      <w:pPr>
        <w:numPr>
          <w:ilvl w:val="0"/>
          <w:numId w:val="1001"/>
        </w:numPr>
        <w:pStyle w:val="Compact"/>
      </w:pPr>
      <w:r>
        <w:rPr>
          <w:bCs/>
          <w:b/>
        </w:rPr>
        <w:t xml:space="preserve">Accounting Standard:</w:t>
      </w:r>
      <w:r>
        <w:t xml:space="preserve"> </w:t>
      </w:r>
      <w:r>
        <w:t xml:space="preserve">All emissions are categorized and calculated in accordance with the</w:t>
      </w:r>
      <w:r>
        <w:t xml:space="preserve"> </w:t>
      </w:r>
      <w:r>
        <w:rPr>
          <w:bCs/>
          <w:b/>
        </w:rPr>
        <w:t xml:space="preserve">GHG Protocol</w:t>
      </w:r>
      <w:r>
        <w:t xml:space="preserve">.</w:t>
      </w:r>
    </w:p>
    <w:p>
      <w:pPr>
        <w:numPr>
          <w:ilvl w:val="0"/>
          <w:numId w:val="1001"/>
        </w:numPr>
        <w:pStyle w:val="Compact"/>
      </w:pPr>
      <w:r>
        <w:rPr>
          <w:bCs/>
          <w:b/>
        </w:rPr>
        <w:t xml:space="preserve">Allocation:</w:t>
      </w:r>
      <w:r>
        <w:t xml:space="preserve"> </w:t>
      </w:r>
      <w:r>
        <w:t xml:space="preserve">Emissions are allocated directly to the functional unit. For shared processes (e.g., factory utilities), emissions are allocated based on energy intensity per unit.</w:t>
      </w:r>
    </w:p>
    <w:p>
      <w:pPr>
        <w:numPr>
          <w:ilvl w:val="0"/>
          <w:numId w:val="1001"/>
        </w:numPr>
        <w:pStyle w:val="Compact"/>
      </w:pPr>
      <w:r>
        <w:rPr>
          <w:bCs/>
          <w:b/>
        </w:rPr>
        <w:t xml:space="preserve">2026 LSR Update:</w:t>
      </w:r>
      <w:r>
        <w:t xml:space="preserve"> </w:t>
      </w:r>
      <w:r>
        <w:t xml:space="preserve">The Land Sector and Removals (LSR) Standard is applied. While direct land use change data specific to this product\'s raw materials was not available, the methodology acknowledges the importance of biomass carbon removals and land use emissions in the broader context of GHG accounting. Future analyses will aim to integrate more specific LSR data.</w:t>
      </w:r>
    </w:p>
    <w:p>
      <w:pPr>
        <w:numPr>
          <w:ilvl w:val="0"/>
          <w:numId w:val="1001"/>
        </w:numPr>
        <w:pStyle w:val="Compact"/>
      </w:pPr>
      <w:r>
        <w:rPr>
          <w:bCs/>
          <w:b/>
        </w:rPr>
        <w:t xml:space="preserve">Scope 3 Compliance:</w:t>
      </w:r>
      <w:r>
        <w:t xml:space="preserve"> </w:t>
      </w:r>
      <w:r>
        <w:t xml:space="preserve">Significant effort has been made to achieve at least 95% coverage for Scope 3 emissions, as per 2026 requirements, by including detailed upstream and downstream activities.</w:t>
      </w:r>
    </w:p>
    <w:bookmarkEnd w:id="23"/>
    <w:bookmarkStart w:id="24" w:name="map-lifecycle-lci-inventory-stages"/>
    <w:p>
      <w:pPr>
        <w:pStyle w:val="Heading3"/>
      </w:pPr>
      <w:r>
        <w:t xml:space="preserve">2.2. Map Lifecycle (LCI Inventory Stages)</w:t>
      </w:r>
    </w:p>
    <w:p>
      <w:pPr>
        <w:pStyle w:val="FirstParagraph"/>
      </w:pPr>
      <w:r>
        <w:t xml:space="preserve">The lifecycle stages considered for Smart Device X include:</w:t>
      </w:r>
    </w:p>
    <w:p>
      <w:pPr>
        <w:numPr>
          <w:ilvl w:val="0"/>
          <w:numId w:val="1002"/>
        </w:numPr>
        <w:pStyle w:val="Compact"/>
      </w:pPr>
      <w:r>
        <w:rPr>
          <w:bCs/>
          <w:b/>
        </w:rPr>
        <w:t xml:space="preserve">Materials Acquisition &amp; Pre-processing:</w:t>
      </w:r>
      <w:r>
        <w:t xml:space="preserve"> </w:t>
      </w:r>
      <w:r>
        <w:t xml:space="preserve">Extraction, processing, and manufacturing of raw materials, including components listed in the Detailed Bill of Materials (BOM). (Scope 3 - Upstream)</w:t>
      </w:r>
    </w:p>
    <w:p>
      <w:pPr>
        <w:numPr>
          <w:ilvl w:val="0"/>
          <w:numId w:val="1002"/>
        </w:numPr>
        <w:pStyle w:val="Compact"/>
      </w:pPr>
      <w:r>
        <w:rPr>
          <w:bCs/>
          <w:b/>
        </w:rPr>
        <w:t xml:space="preserve">Manufacturing/Production:</w:t>
      </w:r>
      <w:r>
        <w:t xml:space="preserve"> </w:t>
      </w:r>
      <w:r>
        <w:t xml:space="preserve">Energy consumption during the assembly and manufacturing processes in the factory in China. (Scope 1 &amp; 2)</w:t>
      </w:r>
    </w:p>
    <w:p>
      <w:pPr>
        <w:numPr>
          <w:ilvl w:val="0"/>
          <w:numId w:val="1002"/>
        </w:numPr>
        <w:pStyle w:val="Compact"/>
      </w:pPr>
      <w:r>
        <w:rPr>
          <w:bCs/>
          <w:b/>
        </w:rPr>
        <w:t xml:space="preserve">Transport &amp; Distribution:</w:t>
      </w:r>
      <w:r>
        <w:t xml:space="preserve"> </w:t>
      </w:r>
      <w:r>
        <w:t xml:space="preserve">Inbound logistics of materials to the factory (Europe Focused supply chain) and outbound distribution of the finished product to the market, including last-mile delivery. (Scope 3 - Upstream &amp; Downstream)</w:t>
      </w:r>
    </w:p>
    <w:p>
      <w:pPr>
        <w:numPr>
          <w:ilvl w:val="0"/>
          <w:numId w:val="1002"/>
        </w:numPr>
        <w:pStyle w:val="Compact"/>
      </w:pPr>
      <w:r>
        <w:rPr>
          <w:bCs/>
          <w:b/>
        </w:rPr>
        <w:t xml:space="preserve">Use Phase:</w:t>
      </w:r>
      <w:r>
        <w:t xml:space="preserve"> </w:t>
      </w:r>
      <w:r>
        <w:t xml:space="preserve">Energy consumption by the product during its specified lifespan. (Scope 3 - Downstream)</w:t>
      </w:r>
    </w:p>
    <w:p>
      <w:pPr>
        <w:numPr>
          <w:ilvl w:val="0"/>
          <w:numId w:val="1002"/>
        </w:numPr>
        <w:pStyle w:val="Compact"/>
      </w:pPr>
      <w:r>
        <w:rPr>
          <w:bCs/>
          <w:b/>
        </w:rPr>
        <w:t xml:space="preserve">End-of-Life (EoL):</w:t>
      </w:r>
      <w:r>
        <w:t xml:space="preserve"> </w:t>
      </w:r>
      <w:r>
        <w:t xml:space="preserve">Emissions associated with the disposal or recycling of the product at the end of its functional life. (Scope 3 - Downstream)</w:t>
      </w:r>
    </w:p>
    <w:bookmarkEnd w:id="24"/>
    <w:bookmarkStart w:id="25" w:name="collect-data"/>
    <w:p>
      <w:pPr>
        <w:pStyle w:val="Heading3"/>
      </w:pPr>
      <w:r>
        <w:t xml:space="preserve">2.3. Collect Data</w:t>
      </w:r>
    </w:p>
    <w:p>
      <w:pPr>
        <w:pStyle w:val="FirstParagraph"/>
      </w:pPr>
      <w:r>
        <w:t xml:space="preserve">Data collection involved both primary and secondary data sources:</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w:t>
      </w:r>
      <w:r>
        <w:t xml:space="preserve"> </w:t>
      </w:r>
      <w:r>
        <w:t xml:space="preserve">fhoiolns ("1,Aluminum Casing,Metal,Casting,0.8,kg,2.0,1.6;2,Circuit Board,Electronics,Assembly,0.1,kg,15.0,1.5;3,Plastic Components,Plastic,Injection Molding,0.3,kg,3.0,0.9;4,Battery,Chemical,Production,0.2,kg,10.0,2.0;5,Packaging,Paper,Fabrication,0.05,kg,1.0,0.05") provided specific material quantities and pre-calculated total carbon emissions (kg CO2e) for each component.</w:t>
      </w:r>
    </w:p>
    <w:p>
      <w:pPr>
        <w:numPr>
          <w:ilvl w:val="1"/>
          <w:numId w:val="1004"/>
        </w:numPr>
        <w:pStyle w:val="Compact"/>
      </w:pPr>
      <w:r>
        <w:rPr>
          <w:bCs/>
          <w:b/>
        </w:rPr>
        <w:t xml:space="preserve">Transport Data:</w:t>
      </w:r>
      <w:r>
        <w:t xml:space="preserve"> </w:t>
      </w:r>
      <w:r>
        <w:t xml:space="preserve">Transport Mode (Road Freight), Transport Distance (2500 km), Last-Mile Delivery Channel (Van Delivery).</w:t>
      </w:r>
    </w:p>
    <w:p>
      <w:pPr>
        <w:numPr>
          <w:ilvl w:val="1"/>
          <w:numId w:val="1004"/>
        </w:numPr>
        <w:pStyle w:val="Compact"/>
      </w:pPr>
      <w:r>
        <w:rPr>
          <w:bCs/>
          <w:b/>
        </w:rPr>
        <w:t xml:space="preserve">Energy Customization Data:</w:t>
      </w:r>
      <w:r>
        <w:t xml:space="preserve"> </w:t>
      </w:r>
      <w:r>
        <w:t xml:space="preserve">Renewable Energy Usage (60%), Energy Intensity during production (15 kWh/unit).</w:t>
      </w:r>
    </w:p>
    <w:p>
      <w:pPr>
        <w:numPr>
          <w:ilvl w:val="1"/>
          <w:numId w:val="1004"/>
        </w:numPr>
        <w:pStyle w:val="Compact"/>
      </w:pPr>
      <w:r>
        <w:rPr>
          <w:bCs/>
          <w:b/>
        </w:rPr>
        <w:t xml:space="preserve">Use Phase Data:</w:t>
      </w:r>
      <w:r>
        <w:t xml:space="preserve"> </w:t>
      </w:r>
      <w:r>
        <w:t xml:space="preserve">Product Lifespan (3 years), Energy Consumption in Use (50 kWh over lifespan).</w:t>
      </w:r>
    </w:p>
    <w:p>
      <w:pPr>
        <w:numPr>
          <w:ilvl w:val="1"/>
          <w:numId w:val="1004"/>
        </w:numPr>
        <w:pStyle w:val="Compact"/>
      </w:pPr>
      <w:r>
        <w:rPr>
          <w:bCs/>
          <w:b/>
        </w:rPr>
        <w:t xml:space="preserve">End-of-Life Scenarios:</w:t>
      </w:r>
      <w:r>
        <w:t xml:space="preserve"> </w:t>
      </w:r>
      <w:r>
        <w:t xml:space="preserve">Recyclability Percentage (75%), Circular/Take-back Programs (Company operates a take-back program for product components, aiming for high material recovery.).</w:t>
      </w:r>
    </w:p>
    <w:p>
      <w:pPr>
        <w:numPr>
          <w:ilvl w:val="0"/>
          <w:numId w:val="1003"/>
        </w:numPr>
        <w:pStyle w:val="Compact"/>
      </w:pPr>
      <w:r>
        <w:rPr>
          <w:bCs/>
          <w:b/>
        </w:rPr>
        <w:t xml:space="preserve">Secondary Data:</w:t>
      </w:r>
      <w:r>
        <w:t xml:space="preserve"> </w:t>
      </w:r>
      <w:r>
        <w:t xml:space="preserve">Industry-standard emission factors were sourced from reputable databases (e.g., IEA, DEFRA, Climatiq) for electricity grids, transport, and general waste/recycling processes. Specific factors used are detailed in the calculation section.</w:t>
      </w:r>
    </w:p>
    <w:bookmarkEnd w:id="25"/>
    <w:bookmarkStart w:id="26" w:name="calculate-emissions"/>
    <w:p>
      <w:pPr>
        <w:pStyle w:val="Heading3"/>
      </w:pPr>
      <w:r>
        <w:t xml:space="preserve">2.4. Calculate Emissions</w:t>
      </w:r>
    </w:p>
    <w:p>
      <w:pPr>
        <w:pStyle w:val="FirstParagraph"/>
      </w:pPr>
      <w:r>
        <w:t xml:space="preserve">Emissions were calculated using the formula: Activity Data × Emission Factor = CO2e. Emissions are categorized into Scope 1 (direct), Scope 2 (purchased energy), and Scope 3 (value chain - upstream and downstream).</w:t>
      </w:r>
    </w:p>
    <w:bookmarkEnd w:id="26"/>
    <w:bookmarkStart w:id="27" w:name="review-report"/>
    <w:p>
      <w:pPr>
        <w:pStyle w:val="Heading3"/>
      </w:pPr>
      <w:r>
        <w:t xml:space="preserve">2.5. Review &amp; Report</w:t>
      </w:r>
    </w:p>
    <w:p>
      <w:pPr>
        <w:pStyle w:val="FirstParagraph"/>
      </w:pPr>
      <w:r>
        <w:t xml:space="preserve">The results are presented to highlight emission hotspots and provide insights into the reliability of the data and calculations.</w:t>
      </w:r>
    </w:p>
    <w:p>
      <w:r>
        <w:pict>
          <v:rect style="width:0;height:1.5pt" o:hralign="center" o:hrstd="t" o:hr="t"/>
        </w:pict>
      </w:r>
    </w:p>
    <w:bookmarkEnd w:id="27"/>
    <w:bookmarkEnd w:id="28"/>
    <w:bookmarkStart w:id="43" w:name="Xd1ae26bfa27cb309c776d3d581db7b3e8fff8f4"/>
    <w:p>
      <w:pPr>
        <w:pStyle w:val="Heading2"/>
      </w:pPr>
      <w:r>
        <w:t xml:space="preserve">3. Product Carbon Footprint Analysis for Smart Device X</w:t>
      </w:r>
    </w:p>
    <w:p>
      <w:pPr>
        <w:pStyle w:val="FirstParagraph"/>
      </w:pPr>
      <w:r>
        <w:t xml:space="preserve">The following sections detail the emission calculations for each lifecycle stage of Smart Device X.</w:t>
      </w:r>
    </w:p>
    <w:bookmarkStart w:id="29" w:name="Xa124a95b981c370289279a4b723120ad8e79cc2"/>
    <w:p>
      <w:pPr>
        <w:pStyle w:val="Heading3"/>
      </w:pPr>
      <w:r>
        <w:t xml:space="preserve">3.1. Materials Acquisition &amp; Pre-processing (Scope 3 - Upstream)</w:t>
      </w:r>
    </w:p>
    <w:p>
      <w:pPr>
        <w:pStyle w:val="FirstParagraph"/>
      </w:pPr>
      <w:r>
        <w:t xml:space="preserve">The emissions from raw material extraction, processing, and component manufacturing are directly taken from the provided Detailed Bill of Materials (fhoiolns), where \'Total Carbon\' values are given in kg CO2e per item for the specified quantity. The total product mass is calculated as 1.45 kg.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Chemical</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6.05</w:t>
            </w:r>
          </w:p>
        </w:tc>
      </w:tr>
    </w:tbl>
    <w:p>
      <w:pPr>
        <w:pStyle w:val="BodyText"/>
      </w:pPr>
      <w:r>
        <w:t xml:space="preserve">Total emissions from materials acquisition and pre-processing:</w:t>
      </w:r>
      <w:r>
        <w:t xml:space="preserve"> </w:t>
      </w:r>
      <w:r>
        <w:rPr>
          <w:bCs/>
          <w:b/>
        </w:rPr>
        <w:t xml:space="preserve">6.05 kg CO2e</w:t>
      </w:r>
      <w:r>
        <w:t xml:space="preserve">.</w:t>
      </w:r>
    </w:p>
    <w:bookmarkEnd w:id="29"/>
    <w:bookmarkStart w:id="30" w:name="production-phase-scope-1-2"/>
    <w:p>
      <w:pPr>
        <w:pStyle w:val="Heading3"/>
      </w:pPr>
      <w:r>
        <w:t xml:space="preserve">3.2. Production Phase (Scope 1 &amp; 2)</w:t>
      </w:r>
    </w:p>
    <w:p>
      <w:pPr>
        <w:pStyle w:val="FirstParagraph"/>
      </w:pPr>
      <w:r>
        <w:t xml:space="preserve">The production of Smart Device X occurs in China. Energy consumption during this phase is characterized by an Energy Intensity of 15 kWh/unit and a Renewable Energy Usage of 60%.</w:t>
      </w:r>
    </w:p>
    <w:p>
      <w:pPr>
        <w:numPr>
          <w:ilvl w:val="0"/>
          <w:numId w:val="1005"/>
        </w:numPr>
        <w:pStyle w:val="Compact"/>
      </w:pPr>
      <w:r>
        <w:t xml:space="preserve">Total Energy Consumption: 15 kWh/unit</w:t>
      </w:r>
    </w:p>
    <w:p>
      <w:pPr>
        <w:numPr>
          <w:ilvl w:val="0"/>
          <w:numId w:val="1005"/>
        </w:numPr>
        <w:pStyle w:val="Compact"/>
      </w:pPr>
      <w:r>
        <w:t xml:space="preserve">Renewable Energy Portion: 15 kWh * 60% = 9 kWh (no emissions from grid-connected renewable energy usage, assuming verified green power procurement)</w:t>
      </w:r>
    </w:p>
    <w:p>
      <w:pPr>
        <w:numPr>
          <w:ilvl w:val="0"/>
          <w:numId w:val="1005"/>
        </w:numPr>
        <w:pStyle w:val="Compact"/>
      </w:pPr>
      <w:r>
        <w:t xml:space="preserve">Non-Renewable Energy Portion: 15 kWh * (100% - 60%) = 6 kWh</w:t>
      </w:r>
    </w:p>
    <w:p>
      <w:pPr>
        <w:numPr>
          <w:ilvl w:val="0"/>
          <w:numId w:val="1005"/>
        </w:numPr>
        <w:pStyle w:val="Compact"/>
      </w:pPr>
      <w:r>
        <w:t xml:space="preserve">China Electricity Grid Emission Factor (average): 0.8 kg CO2e/kWh</w:t>
      </w:r>
    </w:p>
    <w:p>
      <w:pPr>
        <w:numPr>
          <w:ilvl w:val="0"/>
          <w:numId w:val="1005"/>
        </w:numPr>
        <w:pStyle w:val="Compact"/>
      </w:pPr>
      <w:r>
        <w:t xml:space="preserve">Emissions from Purchased Electricity (Scope 2): 6 kWh * 0.8 kg CO2e/kWh =</w:t>
      </w:r>
      <w:r>
        <w:t xml:space="preserve"> </w:t>
      </w:r>
      <w:r>
        <w:rPr>
          <w:bCs/>
          <w:b/>
        </w:rPr>
        <w:t xml:space="preserve">4.80 kg CO2e</w:t>
      </w:r>
      <w:r>
        <w:t xml:space="preserve">.</w:t>
      </w:r>
    </w:p>
    <w:p>
      <w:pPr>
        <w:pStyle w:val="FirstParagraph"/>
      </w:pPr>
      <w:r>
        <w:t xml:space="preserve">Assuming no direct on-site fossil fuel combustion (Scope 1) for the production of a single unit, the primary emissions in this phase are from purchased electricity.</w:t>
      </w:r>
    </w:p>
    <w:p>
      <w:pPr>
        <w:pStyle w:val="BodyText"/>
      </w:pPr>
      <w:r>
        <w:t xml:space="preserve">Total emissions from the production phase:</w:t>
      </w:r>
      <w:r>
        <w:t xml:space="preserve"> </w:t>
      </w:r>
      <w:r>
        <w:rPr>
          <w:bCs/>
          <w:b/>
        </w:rPr>
        <w:t xml:space="preserve">4.80 kg CO2e</w:t>
      </w:r>
      <w:r>
        <w:t xml:space="preserve">.</w:t>
      </w:r>
    </w:p>
    <w:bookmarkEnd w:id="30"/>
    <w:bookmarkStart w:id="33" w:name="Xc78fa9e95fdc5a4841e5055035e97eb6a5c3c11"/>
    <w:p>
      <w:pPr>
        <w:pStyle w:val="Heading3"/>
      </w:pPr>
      <w:r>
        <w:t xml:space="preserve">3.3. Transport &amp; Distribution (Scope 3 - Upstream &amp; Downstream)</w:t>
      </w:r>
    </w:p>
    <w:p>
      <w:pPr>
        <w:pStyle w:val="FirstParagraph"/>
      </w:pPr>
      <w:r>
        <w:t xml:space="preserve">Transport emissions are calculated for both inbound materials (to factory) and outbound products (to market, including last-mile delivery).</w:t>
      </w:r>
    </w:p>
    <w:p>
      <w:pPr>
        <w:numPr>
          <w:ilvl w:val="0"/>
          <w:numId w:val="1006"/>
        </w:numPr>
        <w:pStyle w:val="Compact"/>
      </w:pPr>
      <w:r>
        <w:t xml:space="preserve">Product Mass: 1.45 kg (from BOM calculation)</w:t>
      </w:r>
    </w:p>
    <w:p>
      <w:pPr>
        <w:numPr>
          <w:ilvl w:val="0"/>
          <w:numId w:val="1006"/>
        </w:numPr>
        <w:pStyle w:val="Compact"/>
      </w:pPr>
      <w:r>
        <w:t xml:space="preserve">Transport Distance: 2500 km (xtipwghnir)</w:t>
      </w:r>
    </w:p>
    <w:p>
      <w:pPr>
        <w:numPr>
          <w:ilvl w:val="0"/>
          <w:numId w:val="1006"/>
        </w:numPr>
        <w:pStyle w:val="Compact"/>
      </w:pPr>
      <w:r>
        <w:t xml:space="preserve">Main Transport Mode: Road Freight</w:t>
      </w:r>
    </w:p>
    <w:p>
      <w:pPr>
        <w:numPr>
          <w:ilvl w:val="0"/>
          <w:numId w:val="1006"/>
        </w:numPr>
        <w:pStyle w:val="Compact"/>
      </w:pPr>
      <w:r>
        <w:t xml:space="preserve">Emission Factor (Road Freight HGV): 0.11133 kg CO2e/tonne-km</w:t>
      </w:r>
    </w:p>
    <w:p>
      <w:pPr>
        <w:numPr>
          <w:ilvl w:val="0"/>
          <w:numId w:val="1006"/>
        </w:numPr>
        <w:pStyle w:val="Compact"/>
      </w:pPr>
      <w:r>
        <w:t xml:space="preserve">Last-Mile Delivery Channel: Van Delivery</w:t>
      </w:r>
    </w:p>
    <w:p>
      <w:pPr>
        <w:numPr>
          <w:ilvl w:val="0"/>
          <w:numId w:val="1006"/>
        </w:numPr>
        <w:pStyle w:val="Compact"/>
      </w:pPr>
      <w:r>
        <w:t xml:space="preserve">Emission Factor (Europe Average Van Delivery): 0.25 kg CO2e/km (used for a shorter, assumed last-mile distance, for example 100km, as `xtipwghnir` is likely the primary transport distance)</w:t>
      </w:r>
    </w:p>
    <w:bookmarkStart w:id="31" w:name="Xded3c2075aeab6ace45871179a7a58dd0023843"/>
    <w:p>
      <w:pPr>
        <w:pStyle w:val="Heading4"/>
      </w:pPr>
      <w:r>
        <w:t xml:space="preserve">Calculation for Main Transport (Upstream &amp; Downstream assumed combined for simplicity with given `xtipwghnir` as total product transport)</w:t>
      </w:r>
    </w:p>
    <w:p>
      <w:pPr>
        <w:numPr>
          <w:ilvl w:val="0"/>
          <w:numId w:val="1007"/>
        </w:numPr>
        <w:pStyle w:val="Compact"/>
      </w:pPr>
      <w:r>
        <w:t xml:space="preserve">Distance: 2500 km</w:t>
      </w:r>
    </w:p>
    <w:p>
      <w:pPr>
        <w:numPr>
          <w:ilvl w:val="0"/>
          <w:numId w:val="1007"/>
        </w:numPr>
        <w:pStyle w:val="Compact"/>
      </w:pPr>
      <w:r>
        <w:t xml:space="preserve">Product Weight: 1.45 kg = 0.00145 tonnes</w:t>
      </w:r>
    </w:p>
    <w:p>
      <w:pPr>
        <w:numPr>
          <w:ilvl w:val="0"/>
          <w:numId w:val="1007"/>
        </w:numPr>
        <w:pStyle w:val="Compact"/>
      </w:pPr>
      <w:r>
        <w:t xml:space="preserve">Tonne-km: 0.00145 tonnes * 2500 km = 3.625 tonne-km</w:t>
      </w:r>
    </w:p>
    <w:p>
      <w:pPr>
        <w:numPr>
          <w:ilvl w:val="0"/>
          <w:numId w:val="1007"/>
        </w:numPr>
        <w:pStyle w:val="Compact"/>
      </w:pPr>
      <w:r>
        <w:t xml:space="preserve">Emissions from Main Transport: 3.625 tonne-km * 0.11133 kg CO2e/tonne-km =</w:t>
      </w:r>
      <w:r>
        <w:t xml:space="preserve"> </w:t>
      </w:r>
      <w:r>
        <w:rPr>
          <w:bCs/>
          <w:b/>
        </w:rPr>
        <w:t xml:space="preserve">0.4036 kg CO2e</w:t>
      </w:r>
      <w:r>
        <w:t xml:space="preserve">.</w:t>
      </w:r>
    </w:p>
    <w:bookmarkEnd w:id="31"/>
    <w:bookmarkStart w:id="32" w:name="X4f62ea4305af8c12045497b6d01aff5f0676176"/>
    <w:p>
      <w:pPr>
        <w:pStyle w:val="Heading4"/>
      </w:pPr>
      <w:r>
        <w:t xml:space="preserve">Calculation for Last-Mile Delivery (Downstream)</w:t>
      </w:r>
    </w:p>
    <w:p>
      <w:pPr>
        <w:pStyle w:val="FirstParagraph"/>
      </w:pPr>
      <w:r>
        <w:t xml:space="preserve">Assuming an average last-mile distance of 100 km per unit for van delivery:</w:t>
      </w:r>
    </w:p>
    <w:p>
      <w:pPr>
        <w:numPr>
          <w:ilvl w:val="0"/>
          <w:numId w:val="1008"/>
        </w:numPr>
        <w:pStyle w:val="Compact"/>
      </w:pPr>
      <w:r>
        <w:t xml:space="preserve">Distance: 100 km</w:t>
      </w:r>
    </w:p>
    <w:p>
      <w:pPr>
        <w:numPr>
          <w:ilvl w:val="0"/>
          <w:numId w:val="1008"/>
        </w:numPr>
        <w:pStyle w:val="Compact"/>
      </w:pPr>
      <w:r>
        <w:t xml:space="preserve">Emissions from Last-Mile Delivery: 100 km * 0.25 kg CO2e/km =</w:t>
      </w:r>
      <w:r>
        <w:t xml:space="preserve"> </w:t>
      </w:r>
      <w:r>
        <w:rPr>
          <w:bCs/>
          <w:b/>
        </w:rPr>
        <w:t xml:space="preserve">25.00 kg CO2e</w:t>
      </w:r>
      <w:r>
        <w:t xml:space="preserve">.</w:t>
      </w:r>
    </w:p>
    <w:p>
      <w:pPr>
        <w:pStyle w:val="FirstParagraph"/>
      </w:pPr>
      <w:r>
        <w:t xml:space="preserve">Total emissions from transport and distribution: 0.4036 kg CO2e + 25.00 kg CO2e =</w:t>
      </w:r>
      <w:r>
        <w:t xml:space="preserve"> </w:t>
      </w:r>
      <w:r>
        <w:rPr>
          <w:bCs/>
          <w:b/>
        </w:rPr>
        <w:t xml:space="preserve">25.40 kg CO2e</w:t>
      </w:r>
      <w:r>
        <w:t xml:space="preserve">.</w:t>
      </w:r>
    </w:p>
    <w:bookmarkEnd w:id="32"/>
    <w:bookmarkEnd w:id="33"/>
    <w:bookmarkStart w:id="34" w:name="use-phase-scope-3---downstream"/>
    <w:p>
      <w:pPr>
        <w:pStyle w:val="Heading3"/>
      </w:pPr>
      <w:r>
        <w:t xml:space="preserve">3.4. Use Phase (Scope 3 - Downstream)</w:t>
      </w:r>
    </w:p>
    <w:p>
      <w:pPr>
        <w:pStyle w:val="FirstParagraph"/>
      </w:pPr>
      <w:r>
        <w:t xml:space="preserve">The use phase accounts for the energy consumed by the product during its operational life.</w:t>
      </w:r>
    </w:p>
    <w:p>
      <w:pPr>
        <w:numPr>
          <w:ilvl w:val="0"/>
          <w:numId w:val="1009"/>
        </w:numPr>
        <w:pStyle w:val="Compact"/>
      </w:pPr>
      <w:r>
        <w:t xml:space="preserve">Product Lifespan: 3 years (remnnorvuf)</w:t>
      </w:r>
    </w:p>
    <w:p>
      <w:pPr>
        <w:numPr>
          <w:ilvl w:val="0"/>
          <w:numId w:val="1009"/>
        </w:numPr>
        <w:pStyle w:val="Compact"/>
      </w:pPr>
      <w:r>
        <w:t xml:space="preserve">Energy Consumption in Use: 50 kWh (peguipommm, total over lifespan for 1 unit).</w:t>
      </w:r>
    </w:p>
    <w:p>
      <w:pPr>
        <w:numPr>
          <w:ilvl w:val="0"/>
          <w:numId w:val="1009"/>
        </w:numPr>
        <w:pStyle w:val="Compact"/>
      </w:pPr>
      <w:r>
        <w:t xml:space="preserve">Electricity Grid Emission Factor (consumer use, assuming European grid for use phase due to \'Europe Focused\' supply chain emphasis, using a conservative EU average of 0.25 kg CO2e/kWh for calculation, as specific consumer use country is not given).</w:t>
      </w:r>
    </w:p>
    <w:p>
      <w:pPr>
        <w:numPr>
          <w:ilvl w:val="0"/>
          <w:numId w:val="1009"/>
        </w:numPr>
        <w:pStyle w:val="Compact"/>
      </w:pPr>
      <w:r>
        <w:t xml:space="preserve">Emissions from Use Phase: 50 kWh * 0.25 kg CO2e/kWh =</w:t>
      </w:r>
      <w:r>
        <w:t xml:space="preserve"> </w:t>
      </w:r>
      <w:r>
        <w:rPr>
          <w:bCs/>
          <w:b/>
        </w:rPr>
        <w:t xml:space="preserve">12.50 kg CO2e</w:t>
      </w:r>
      <w:r>
        <w:t xml:space="preserve">.</w:t>
      </w:r>
    </w:p>
    <w:p>
      <w:pPr>
        <w:pStyle w:val="FirstParagraph"/>
      </w:pPr>
      <w:r>
        <w:t xml:space="preserve">Total emissions from the use phase:</w:t>
      </w:r>
      <w:r>
        <w:t xml:space="preserve"> </w:t>
      </w:r>
      <w:r>
        <w:rPr>
          <w:bCs/>
          <w:b/>
        </w:rPr>
        <w:t xml:space="preserve">12.50 kg CO2e</w:t>
      </w:r>
      <w:r>
        <w:t xml:space="preserve">.</w:t>
      </w:r>
    </w:p>
    <w:bookmarkEnd w:id="34"/>
    <w:bookmarkStart w:id="38" w:name="X92fbc61eed99b9d9aafbebcbbd2c7ad7660f7e4"/>
    <w:p>
      <w:pPr>
        <w:pStyle w:val="Heading3"/>
      </w:pPr>
      <w:r>
        <w:t xml:space="preserve">3.5. End-of-Life (EoL) Phase (Scope 3 - Downstream)</w:t>
      </w:r>
    </w:p>
    <w:p>
      <w:pPr>
        <w:pStyle w:val="FirstParagraph"/>
      </w:pPr>
      <w:r>
        <w:t xml:space="preserve">The end-of-life phase considers the recyclability of the product and the impact of circular programs.</w:t>
      </w:r>
    </w:p>
    <w:p>
      <w:pPr>
        <w:numPr>
          <w:ilvl w:val="0"/>
          <w:numId w:val="1010"/>
        </w:numPr>
        <w:pStyle w:val="Compact"/>
      </w:pPr>
      <w:r>
        <w:t xml:space="preserve">Product Mass: 1.45 kg</w:t>
      </w:r>
    </w:p>
    <w:p>
      <w:pPr>
        <w:numPr>
          <w:ilvl w:val="0"/>
          <w:numId w:val="1010"/>
        </w:numPr>
        <w:pStyle w:val="Compact"/>
      </w:pPr>
      <w:r>
        <w:t xml:space="preserve">Recyclability Percentage: 75% (ktuifgsmnf)</w:t>
      </w:r>
    </w:p>
    <w:p>
      <w:pPr>
        <w:numPr>
          <w:ilvl w:val="0"/>
          <w:numId w:val="1010"/>
        </w:numPr>
        <w:pStyle w:val="Compact"/>
      </w:pPr>
      <w:r>
        <w:t xml:space="preserve">Mass Recycled: 1.45 kg * 75% = 1.0875 kg</w:t>
      </w:r>
    </w:p>
    <w:p>
      <w:pPr>
        <w:numPr>
          <w:ilvl w:val="0"/>
          <w:numId w:val="1010"/>
        </w:numPr>
        <w:pStyle w:val="Compact"/>
      </w:pPr>
      <w:r>
        <w:t xml:space="preserve">Mass Disposed (landfill/incineration): 1.45 kg * (100% - 75%) = 0.3625 kg</w:t>
      </w:r>
    </w:p>
    <w:bookmarkStart w:id="35" w:name="emissions-from-disposal"/>
    <w:p>
      <w:pPr>
        <w:pStyle w:val="Heading4"/>
      </w:pPr>
      <w:r>
        <w:t xml:space="preserve">Emissions from Disposal:</w:t>
      </w:r>
    </w:p>
    <w:p>
      <w:pPr>
        <w:pStyle w:val="FirstParagraph"/>
      </w:pPr>
      <w:r>
        <w:t xml:space="preserve">Assuming a general emission factor for mixed waste disposal (e.g., landfill/incineration without energy recovery) of 0.5 kg CO2e/kg.</w:t>
      </w:r>
    </w:p>
    <w:p>
      <w:pPr>
        <w:numPr>
          <w:ilvl w:val="0"/>
          <w:numId w:val="1011"/>
        </w:numPr>
        <w:pStyle w:val="Compact"/>
      </w:pPr>
      <w:r>
        <w:t xml:space="preserve">Emissions from Disposal: 0.3625 kg * 0.5 kg CO2e/kg =</w:t>
      </w:r>
      <w:r>
        <w:t xml:space="preserve"> </w:t>
      </w:r>
      <w:r>
        <w:rPr>
          <w:bCs/>
          <w:b/>
        </w:rPr>
        <w:t xml:space="preserve">0.1813 kg CO2e</w:t>
      </w:r>
      <w:r>
        <w:t xml:space="preserve">.</w:t>
      </w:r>
    </w:p>
    <w:bookmarkEnd w:id="35"/>
    <w:bookmarkStart w:id="36" w:name="X184741b2cf65a88486ba6254f297894f891a144"/>
    <w:p>
      <w:pPr>
        <w:pStyle w:val="Heading4"/>
      </w:pPr>
      <w:r>
        <w:t xml:space="preserve">Avoided Emissions from Recycling (Reported Separately per GHG Protocol):</w:t>
      </w:r>
    </w:p>
    <w:p>
      <w:pPr>
        <w:pStyle w:val="FirstParagraph"/>
      </w:pPr>
      <w:r>
        <w:t xml:space="preserve">The GHG Protocol recommends reporting avoided emissions separately and not deducting them from the scope 3 inventory. To reflect circular economy impacts, we quantify the potential benefits. Using an average avoided emission factor of 1.0 kg CO2e per kg of mixed material recycled.</w:t>
      </w:r>
    </w:p>
    <w:p>
      <w:pPr>
        <w:numPr>
          <w:ilvl w:val="0"/>
          <w:numId w:val="1012"/>
        </w:numPr>
        <w:pStyle w:val="Compact"/>
      </w:pPr>
      <w:r>
        <w:t xml:space="preserve">Avoided Emissions: 1.0875 kg * 1.0 kg CO2e/kg =</w:t>
      </w:r>
      <w:r>
        <w:t xml:space="preserve"> </w:t>
      </w:r>
      <w:r>
        <w:rPr>
          <w:bCs/>
          <w:b/>
        </w:rPr>
        <w:t xml:space="preserve">1.0875 kg CO2e (avoided)</w:t>
      </w:r>
      <w:r>
        <w:t xml:space="preserve">.</w:t>
      </w:r>
    </w:p>
    <w:bookmarkEnd w:id="36"/>
    <w:bookmarkStart w:id="37" w:name="circulartake-back-programs"/>
    <w:p>
      <w:pPr>
        <w:pStyle w:val="Heading4"/>
      </w:pPr>
      <w:r>
        <w:t xml:space="preserve">Circular/Take-back Programs:</w:t>
      </w:r>
    </w:p>
    <w:p>
      <w:pPr>
        <w:pStyle w:val="FirstParagraph"/>
      </w:pPr>
      <w:r>
        <w:t xml:space="preserve">efxyxepyzo (Company operates a take-back program for product components, aiming for high material recovery.) This program directly supports achieving the 75% recyclability rate and facilitates the actual material recovery, thereby enabling the avoided emissions calculated above. The program enhances the circularity of materials, reducing the demand for virgin resources.</w:t>
      </w:r>
    </w:p>
    <w:p>
      <w:pPr>
        <w:pStyle w:val="BodyText"/>
      </w:pPr>
      <w:r>
        <w:t xml:space="preserve">Net emissions from the EoL phase (considering direct emissions from disposal only for the main inventory):</w:t>
      </w:r>
      <w:r>
        <w:t xml:space="preserve"> </w:t>
      </w:r>
      <w:r>
        <w:rPr>
          <w:bCs/>
          <w:b/>
        </w:rPr>
        <w:t xml:space="preserve">0.18 kg CO2e</w:t>
      </w:r>
      <w:r>
        <w:t xml:space="preserve">.</w:t>
      </w:r>
    </w:p>
    <w:p>
      <w:pPr>
        <w:pStyle w:val="BodyText"/>
      </w:pPr>
      <w:r>
        <w:t xml:space="preserve">Potential avoided emissions due to recycling:</w:t>
      </w:r>
      <w:r>
        <w:t xml:space="preserve"> </w:t>
      </w:r>
      <w:r>
        <w:rPr>
          <w:bCs/>
          <w:b/>
        </w:rPr>
        <w:t xml:space="preserve">1.09 kg CO2e</w:t>
      </w:r>
      <w:r>
        <w:t xml:space="preserve"> </w:t>
      </w:r>
      <w:r>
        <w:t xml:space="preserve">(reported separately).</w:t>
      </w:r>
    </w:p>
    <w:bookmarkEnd w:id="37"/>
    <w:bookmarkEnd w:id="38"/>
    <w:bookmarkStart w:id="41" w:name="total-carbon-footprint-hotspots"/>
    <w:p>
      <w:pPr>
        <w:pStyle w:val="Heading3"/>
      </w:pPr>
      <w:r>
        <w:t xml:space="preserve">3.6. Total Carbon Footprint &amp; Hotspots</w:t>
      </w:r>
    </w:p>
    <w:p>
      <w:pPr>
        <w:pStyle w:val="FirstParagraph"/>
      </w:pPr>
      <w:r>
        <w:t xml:space="preserve">The total Product Carbon Footprint (PCF) for Smart Device X (cradle-to-gate with use phase and end-of-life disposal emissions included in Scope 3)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6.05</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4.80</w:t>
            </w:r>
          </w:p>
        </w:tc>
      </w:tr>
      <w:tr>
        <w:tc>
          <w:tcPr/>
          <w:p>
            <w:pPr>
              <w:pStyle w:val="Compact"/>
              <w:jc w:val="left"/>
            </w:pPr>
            <w:r>
              <w:t xml:space="preserve">Main Transport &amp; Distribution</w:t>
            </w:r>
          </w:p>
        </w:tc>
        <w:tc>
          <w:tcPr/>
          <w:p>
            <w:pPr>
              <w:pStyle w:val="Compact"/>
              <w:jc w:val="left"/>
            </w:pPr>
            <w:r>
              <w:t xml:space="preserve">Scope 3 (Upstream &amp; Downstream)</w:t>
            </w:r>
          </w:p>
        </w:tc>
        <w:tc>
          <w:tcPr/>
          <w:p>
            <w:pPr>
              <w:pStyle w:val="Compact"/>
              <w:jc w:val="left"/>
            </w:pPr>
            <w:r>
              <w:t xml:space="preserve">0.40</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0.18</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48.93</w:t>
            </w:r>
          </w:p>
        </w:tc>
      </w:tr>
    </w:tbl>
    <w:bookmarkStart w:id="39" w:name="breakdown-by-ghg-protocol-scope"/>
    <w:p>
      <w:pPr>
        <w:pStyle w:val="Heading4"/>
      </w:pPr>
      <w:r>
        <w:t xml:space="preserve">Breakdown by GHG Protocol Scope:</w:t>
      </w:r>
    </w:p>
    <w:p>
      <w:pPr>
        <w:numPr>
          <w:ilvl w:val="0"/>
          <w:numId w:val="1013"/>
        </w:numPr>
        <w:pStyle w:val="Compact"/>
      </w:pPr>
      <w:r>
        <w:rPr>
          <w:bCs/>
          <w:b/>
        </w:rPr>
        <w:t xml:space="preserve">Scope 1 Emissions:</w:t>
      </w:r>
      <w:r>
        <w:t xml:space="preserve"> </w:t>
      </w:r>
      <w:r>
        <w:t xml:space="preserve">0.00 kg CO2e (No direct combustion emissions assumed for this product unit\'s manufacturing)</w:t>
      </w:r>
    </w:p>
    <w:p>
      <w:pPr>
        <w:numPr>
          <w:ilvl w:val="0"/>
          <w:numId w:val="1013"/>
        </w:numPr>
        <w:pStyle w:val="Compact"/>
      </w:pPr>
      <w:r>
        <w:rPr>
          <w:bCs/>
          <w:b/>
        </w:rPr>
        <w:t xml:space="preserve">Scope 2 Emissions:</w:t>
      </w:r>
      <w:r>
        <w:t xml:space="preserve"> </w:t>
      </w:r>
      <w:r>
        <w:t xml:space="preserve">4.80 kg CO2e (from purchased electricity for production)</w:t>
      </w:r>
    </w:p>
    <w:p>
      <w:pPr>
        <w:numPr>
          <w:ilvl w:val="0"/>
          <w:numId w:val="1013"/>
        </w:numPr>
        <w:pStyle w:val="Compact"/>
      </w:pPr>
      <w:r>
        <w:rPr>
          <w:bCs/>
          <w:b/>
        </w:rPr>
        <w:t xml:space="preserve">Scope 3 Emissions:</w:t>
      </w:r>
      <w:r>
        <w:t xml:space="preserve"> </w:t>
      </w:r>
      <w:r>
        <w:t xml:space="preserve">44.13 kg CO2e (Materials, Transport, Use Phase, EoL Disposal)</w:t>
      </w:r>
    </w:p>
    <w:p>
      <w:pPr>
        <w:pStyle w:val="FirstParagraph"/>
      </w:pPr>
      <w:r>
        <w:rPr>
          <w:bCs/>
          <w:b/>
        </w:rPr>
        <w:t xml:space="preserve">Total PCF: 48.93 kg CO2e per unit of Smart Device X.</w:t>
      </w:r>
    </w:p>
    <w:bookmarkEnd w:id="39"/>
    <w:bookmarkStart w:id="40" w:name="emission-hotspots"/>
    <w:p>
      <w:pPr>
        <w:pStyle w:val="Heading4"/>
      </w:pPr>
      <w:r>
        <w:t xml:space="preserve">Emission Hotspots:</w:t>
      </w:r>
    </w:p>
    <w:p>
      <w:pPr>
        <w:pStyle w:val="FirstParagraph"/>
      </w:pPr>
      <w:r>
        <w:t xml:space="preserve">The primary emission hotspots for Smart Device X are:</w:t>
      </w:r>
    </w:p>
    <w:p>
      <w:pPr>
        <w:numPr>
          <w:ilvl w:val="0"/>
          <w:numId w:val="1014"/>
        </w:numPr>
        <w:pStyle w:val="Compact"/>
      </w:pPr>
      <w:r>
        <w:rPr>
          <w:bCs/>
          <w:b/>
        </w:rPr>
        <w:t xml:space="preserve">Last-Mile Delivery (25.00 kg CO2e):</w:t>
      </w:r>
      <w:r>
        <w:t xml:space="preserve"> </w:t>
      </w:r>
      <w:r>
        <w:t xml:space="preserve">This constitutes the largest portion of the footprint, indicating that the final leg of product delivery is highly carbon-intensive, likely due to less efficient vehicle utilization or fuel types.</w:t>
      </w:r>
    </w:p>
    <w:p>
      <w:pPr>
        <w:numPr>
          <w:ilvl w:val="0"/>
          <w:numId w:val="1014"/>
        </w:numPr>
        <w:pStyle w:val="Compact"/>
      </w:pPr>
      <w:r>
        <w:rPr>
          <w:bCs/>
          <w:b/>
        </w:rPr>
        <w:t xml:space="preserve">Use Phase (12.50 kg CO2e):</w:t>
      </w:r>
      <w:r>
        <w:t xml:space="preserve"> </w:t>
      </w:r>
      <w:r>
        <w:t xml:space="preserve">Energy consumption during the product\'s operational lifespan is a significant contributor, highlighting the importance of energy efficiency in product design.</w:t>
      </w:r>
    </w:p>
    <w:p>
      <w:pPr>
        <w:numPr>
          <w:ilvl w:val="0"/>
          <w:numId w:val="1014"/>
        </w:numPr>
        <w:pStyle w:val="Compact"/>
      </w:pPr>
      <w:r>
        <w:rPr>
          <w:bCs/>
          <w:b/>
        </w:rPr>
        <w:t xml:space="preserve">Materials Acquisition &amp; Pre-processing (6.05 kg CO2e):</w:t>
      </w:r>
      <w:r>
        <w:t xml:space="preserve"> </w:t>
      </w:r>
      <w:r>
        <w:t xml:space="preserve">The embodied emissions in raw materials and components, particularly those with high emission factors (e.g., Circuit Board, Battery), contribute substantially.</w:t>
      </w:r>
    </w:p>
    <w:p>
      <w:pPr>
        <w:numPr>
          <w:ilvl w:val="0"/>
          <w:numId w:val="1014"/>
        </w:numPr>
        <w:pStyle w:val="Compact"/>
      </w:pPr>
      <w:r>
        <w:rPr>
          <w:bCs/>
          <w:b/>
        </w:rPr>
        <w:t xml:space="preserve">Production Phase (4.80 kg CO2e):</w:t>
      </w:r>
      <w:r>
        <w:t xml:space="preserve"> </w:t>
      </w:r>
      <w:r>
        <w:t xml:space="preserve">While significant, the high renewable energy usage mitigates a larger impact from factory operations.</w:t>
      </w:r>
    </w:p>
    <w:bookmarkEnd w:id="40"/>
    <w:bookmarkEnd w:id="41"/>
    <w:bookmarkStart w:id="42" w:name="X7ef73fe3d39a8d84fae696b42f814aa0d860ec0"/>
    <w:p>
      <w:pPr>
        <w:pStyle w:val="Heading3"/>
      </w:pPr>
      <w:r>
        <w:t xml:space="preserve">3.7. 2026 LSR Update (Land Sector and Removals Standard)</w:t>
      </w:r>
    </w:p>
    <w:p>
      <w:pPr>
        <w:pStyle w:val="FirstParagraph"/>
      </w:pPr>
      <w:r>
        <w:t xml:space="preserve">The 2026 Land Sector and Removals (LSR) Standard is acknowledged and integrated into the overarching GHG Protocol framework. For this specific product PCF, direct land use change (LUC) or land-based carbon removal activities were not quantified at a granular level for individual raw materials within the provided BOM. However, the principle of accounting for biogenic carbon flows and LUC emissions for all relevant land management activities within the value chain is maintained. Global Tech Innovations Ltd. is committed to expanding data collection to include specific LSR-related impacts for future reporting, especially for materials with known land-intensive origins.</w:t>
      </w:r>
    </w:p>
    <w:p>
      <w:r>
        <w:pict>
          <v:rect style="width:0;height:1.5pt" o:hralign="center" o:hrstd="t" o:hr="t"/>
        </w:pict>
      </w:r>
    </w:p>
    <w:bookmarkEnd w:id="42"/>
    <w:bookmarkEnd w:id="43"/>
    <w:bookmarkStart w:id="44" w:name="recommendations"/>
    <w:p>
      <w:pPr>
        <w:pStyle w:val="Heading2"/>
      </w:pPr>
      <w:r>
        <w:t xml:space="preserve">4. Recommendations</w:t>
      </w:r>
    </w:p>
    <w:p>
      <w:pPr>
        <w:pStyle w:val="FirstParagraph"/>
      </w:pPr>
      <w:r>
        <w:t xml:space="preserve">Based on the PCF analysis, the following recommendations are made to Global Tech Innovations Ltd. for reducing the carbon footprint of Smart Device X:</w:t>
      </w:r>
    </w:p>
    <w:p>
      <w:pPr>
        <w:numPr>
          <w:ilvl w:val="0"/>
          <w:numId w:val="1015"/>
        </w:numPr>
        <w:pStyle w:val="Compact"/>
      </w:pPr>
      <w:r>
        <w:rPr>
          <w:bCs/>
          <w:b/>
        </w:rPr>
        <w:t xml:space="preserve">Optimize Last-Mile Delivery:</w:t>
      </w:r>
    </w:p>
    <w:p>
      <w:pPr>
        <w:numPr>
          <w:ilvl w:val="1"/>
          <w:numId w:val="1016"/>
        </w:numPr>
        <w:pStyle w:val="Compact"/>
      </w:pPr>
      <w:r>
        <w:t xml:space="preserve">Invest in electric vehicle fleets or collaborate with logistics providers utilizing low-carbon transport options for last-mile delivery.</w:t>
      </w:r>
    </w:p>
    <w:p>
      <w:pPr>
        <w:numPr>
          <w:ilvl w:val="1"/>
          <w:numId w:val="1016"/>
        </w:numPr>
        <w:pStyle w:val="Compact"/>
      </w:pPr>
      <w:r>
        <w:t xml:space="preserve">Implement route optimization software and consolidate deliveries to increase load factors and reduce kilometers traveled.</w:t>
      </w:r>
    </w:p>
    <w:p>
      <w:pPr>
        <w:numPr>
          <w:ilvl w:val="1"/>
          <w:numId w:val="1016"/>
        </w:numPr>
        <w:pStyle w:val="Compact"/>
      </w:pPr>
      <w:r>
        <w:t xml:space="preserve">Explore alternative delivery methods in urban areas, such as cargo bikes or drone delivery, where feasible.</w:t>
      </w:r>
    </w:p>
    <w:p>
      <w:pPr>
        <w:numPr>
          <w:ilvl w:val="0"/>
          <w:numId w:val="1015"/>
        </w:numPr>
        <w:pStyle w:val="Compact"/>
      </w:pPr>
      <w:r>
        <w:rPr>
          <w:bCs/>
          <w:b/>
        </w:rPr>
        <w:t xml:space="preserve">Enhance Use Phase Energy Efficiency:</w:t>
      </w:r>
    </w:p>
    <w:p>
      <w:pPr>
        <w:numPr>
          <w:ilvl w:val="1"/>
          <w:numId w:val="1017"/>
        </w:numPr>
        <w:pStyle w:val="Compact"/>
      </w:pPr>
      <w:r>
        <w:t xml:space="preserve">Prioritize R&amp;D for more energy-efficient components and software to reduce operational energy consumption during the product\'s lifespan.</w:t>
      </w:r>
    </w:p>
    <w:p>
      <w:pPr>
        <w:numPr>
          <w:ilvl w:val="1"/>
          <w:numId w:val="1017"/>
        </w:numPr>
        <w:pStyle w:val="Compact"/>
      </w:pPr>
      <w:r>
        <w:t xml:space="preserve">Educate end-users on energy-saving settings and practices.</w:t>
      </w:r>
    </w:p>
    <w:p>
      <w:pPr>
        <w:numPr>
          <w:ilvl w:val="0"/>
          <w:numId w:val="1015"/>
        </w:numPr>
        <w:pStyle w:val="Compact"/>
      </w:pPr>
      <w:r>
        <w:rPr>
          <w:bCs/>
          <w:b/>
        </w:rPr>
        <w:t xml:space="preserve">Material Decarbonization:</w:t>
      </w:r>
    </w:p>
    <w:p>
      <w:pPr>
        <w:numPr>
          <w:ilvl w:val="1"/>
          <w:numId w:val="1018"/>
        </w:numPr>
        <w:pStyle w:val="Compact"/>
      </w:pPr>
      <w:r>
        <w:t xml:space="preserve">Engage with suppliers to source lower-carbon intensity materials, focusing on high-impact components like batteries and circuit boards.</w:t>
      </w:r>
    </w:p>
    <w:p>
      <w:pPr>
        <w:numPr>
          <w:ilvl w:val="1"/>
          <w:numId w:val="1018"/>
        </w:numPr>
        <w:pStyle w:val="Compact"/>
      </w:pPr>
      <w:r>
        <w:t xml:space="preserve">Increase the use of recycled content in materials, where technically and economically viable, to reduce virgin material demand.</w:t>
      </w:r>
    </w:p>
    <w:p>
      <w:pPr>
        <w:numPr>
          <w:ilvl w:val="0"/>
          <w:numId w:val="1015"/>
        </w:numPr>
        <w:pStyle w:val="Compact"/>
      </w:pPr>
      <w:r>
        <w:rPr>
          <w:bCs/>
          <w:b/>
        </w:rPr>
        <w:t xml:space="preserve">Strengthen Circular Economy Initiatives:</w:t>
      </w:r>
    </w:p>
    <w:p>
      <w:pPr>
        <w:numPr>
          <w:ilvl w:val="1"/>
          <w:numId w:val="1019"/>
        </w:numPr>
        <w:pStyle w:val="Compact"/>
      </w:pPr>
      <w:r>
        <w:t xml:space="preserve">Expand the existing take-back program to maximize product and component recovery.</w:t>
      </w:r>
    </w:p>
    <w:p>
      <w:pPr>
        <w:numPr>
          <w:ilvl w:val="1"/>
          <w:numId w:val="1019"/>
        </w:numPr>
        <w:pStyle w:val="Compact"/>
      </w:pPr>
      <w:r>
        <w:t xml:space="preserve">Investigate possibilities for product-as-a-service models or extended producer responsibility schemes to ensure higher rates of recycling and reuse.</w:t>
      </w:r>
    </w:p>
    <w:p>
      <w:pPr>
        <w:numPr>
          <w:ilvl w:val="1"/>
          <w:numId w:val="1019"/>
        </w:numPr>
        <w:pStyle w:val="Compact"/>
      </w:pPr>
      <w:r>
        <w:t xml:space="preserve">Clearly communicate the environmental benefits of the take-back program and recyclability to consumers.</w:t>
      </w:r>
    </w:p>
    <w:p>
      <w:pPr>
        <w:numPr>
          <w:ilvl w:val="0"/>
          <w:numId w:val="1015"/>
        </w:numPr>
        <w:pStyle w:val="Compact"/>
      </w:pPr>
      <w:r>
        <w:rPr>
          <w:bCs/>
          <w:b/>
        </w:rPr>
        <w:t xml:space="preserve">Data Improvement:</w:t>
      </w:r>
    </w:p>
    <w:p>
      <w:pPr>
        <w:numPr>
          <w:ilvl w:val="1"/>
          <w:numId w:val="1020"/>
        </w:numPr>
        <w:pStyle w:val="Compact"/>
      </w:pPr>
      <w:r>
        <w:t xml:space="preserve">Collect more granular data on specific inbound logistics for materials (e.g., origin, mode, weight) to refine upstream transport emissions.</w:t>
      </w:r>
    </w:p>
    <w:p>
      <w:pPr>
        <w:numPr>
          <w:ilvl w:val="1"/>
          <w:numId w:val="1020"/>
        </w:numPr>
        <w:pStyle w:val="Compact"/>
      </w:pPr>
      <w:r>
        <w:t xml:space="preserve">Work towards obtaining country-specific electricity grid emission factors for all relevant operational locations, particularly for the use phase.</w:t>
      </w:r>
    </w:p>
    <w:p>
      <w:r>
        <w:pict>
          <v:rect style="width:0;height:1.5pt" o:hralign="center" o:hrstd="t" o:hr="t"/>
        </w:pict>
      </w:r>
    </w:p>
    <w:bookmarkEnd w:id="44"/>
    <w:bookmarkStart w:id="45" w:name="conclusion"/>
    <w:p>
      <w:pPr>
        <w:pStyle w:val="Heading2"/>
      </w:pPr>
      <w:r>
        <w:t xml:space="preserve">5. Conclusion</w:t>
      </w:r>
    </w:p>
    <w:p>
      <w:pPr>
        <w:pStyle w:val="FirstParagraph"/>
      </w:pPr>
      <w:r>
        <w:t xml:space="preserve">The Product Carbon Footprint analysis for Smart Device X reveals a total cradle-to-gate with use phase and end-of-life disposal emissions of</w:t>
      </w:r>
      <w:r>
        <w:t xml:space="preserve"> </w:t>
      </w:r>
      <w:r>
        <w:rPr>
          <w:bCs/>
          <w:b/>
        </w:rPr>
        <w:t xml:space="preserve">48.93 kg CO2e per unit</w:t>
      </w:r>
      <w:r>
        <w:t xml:space="preserve">. The most significant emission hotspots are identified in the last-mile delivery and the product\'s use phase, followed by material acquisition and manufacturing. By focusing on these key areas, Global Tech Innovations Ltd. has clear opportunities to significantly reduce the environmental impact of Smart Device X. Adherence to the GHG Protocol and a commitment to continuous improvement in data collection and decarbonization strategies will be crucial for achieving sustainability goals and maintaining leadership in responsible manufacturing. The company\'s circular and take-back programs demonstrate a proactive approach to addressing end-of-life impacts, providing a foundation for further advancements in product circularity.</w:t>
      </w:r>
    </w:p>
    <w:p>
      <w:pPr>
        <w:pStyle w:val="BodyText"/>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Device X</dc:title>
  <dc:creator/>
  <dc:description>Detailed Product Carbon Footprint (PCF) analysis report for Smart Device X, performed by Global Tech Innovations Ltd. following GHG Protocol standards.</dc:description>
  <dc:language>en</dc:language>
  <cp:keywords/>
  <dcterms:created xsi:type="dcterms:W3CDTF">2026-05-30T18:58:03Z</dcterms:created>
  <dcterms:modified xsi:type="dcterms:W3CDTF">2026-05-30T18:58:03Z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