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slxtjppqho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t xml:space="preserve">slxtjppqho</w:t>
      </w:r>
    </w:p>
    <w:p>
      <w:pPr>
        <w:pStyle w:val="BodyText"/>
      </w:pPr>
      <w:r>
        <w:t xml:space="preserve">Company Name:</w:t>
      </w:r>
      <w:r>
        <w:t xml:space="preserve"> </w:t>
      </w:r>
      <w:r>
        <w:t xml:space="preserve">kvrijmxrtl</w:t>
      </w:r>
    </w:p>
    <w:p>
      <w:pPr>
        <w:pStyle w:val="BodyText"/>
      </w:pPr>
      <w:r>
        <w:t xml:space="preserve">Accounting Standard:</w:t>
      </w:r>
      <w:r>
        <w:t xml:space="preserve"> </w:t>
      </w:r>
      <w:r>
        <w:t xml:space="preserve">GHG Protocol</w:t>
      </w:r>
    </w:p>
    <w:p>
      <w:pPr>
        <w:pStyle w:val="BodyText"/>
      </w:pPr>
      <w:r>
        <w:t xml:space="preserve">Senior Sustainability Consultant:</w:t>
      </w:r>
      <w:r>
        <w:t xml:space="preserve"> </w:t>
      </w:r>
      <w:r>
        <w:t xml:space="preserve">exferlgdxz</w:t>
      </w:r>
    </w:p>
    <w:p>
      <w:pPr>
        <w:pStyle w:val="BodyText"/>
      </w:pPr>
      <w:r>
        <w:t xml:space="preserve">This report is generated based on available data and industry standards. The calculations are illustrative, utilizing provided parameters and general emission factors where specific, proprietary data was not available, to demonstrate a high-detail Product Carbon Footprint (PCF) analysis.</w:t>
      </w:r>
    </w:p>
    <w:bookmarkEnd w:id="20"/>
    <w:bookmarkStart w:id="43" w:name="X6a7b2d90468cc6a3332ec2a981c7065b0819def"/>
    <w:p>
      <w:pPr>
        <w:pStyle w:val="Heading1"/>
      </w:pPr>
      <w:r>
        <w:t xml:space="preserve">Product Carbon Footprint Analysis: slxtjppqho</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slxtjppqho</w:t>
      </w:r>
      <w:r>
        <w:t xml:space="preserve">, manufactured by</w:t>
      </w:r>
      <w:r>
        <w:t xml:space="preserve"> </w:t>
      </w:r>
      <w:r>
        <w:t xml:space="preserve">kvrijmxrtl</w:t>
      </w:r>
      <w:r>
        <w:t xml:space="preserve">. The analysis adheres strictly to the GHG Protocol accounting standards, categorizing emissions into Scope 1 (direct), Scope 2 (purchased energy), and Scope 3 (value chain). The assessment covers the full product lifecycle from raw material acquisition to end-of-life, with a specific focus on the</w:t>
      </w:r>
      <w:r>
        <w:t xml:space="preserve"> </w:t>
      </w:r>
      <w:r>
        <w:t xml:space="preserve">factory_gate</w:t>
      </w:r>
      <w:r>
        <w:t xml:space="preserve"> </w:t>
      </w:r>
      <w:r>
        <w:t xml:space="preserve">system boundary for direct operational control and a</w:t>
      </w:r>
      <w:r>
        <w:t xml:space="preserve"> </w:t>
      </w:r>
      <w:r>
        <w:t xml:space="preserve">Europe Focused</w:t>
      </w:r>
      <w:r>
        <w:t xml:space="preserve"> </w:t>
      </w:r>
      <w:r>
        <w:t xml:space="preserve">supply chain for upstream and downstream impacts. Key insights highlight the significant emission hotspots across the lifecycle, particularly within the use phase, and the crucial role of renewable energy adoption and circular economy initiatives in mitigating environmental impact.</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As Senior Sustainability Consultant</w:t>
      </w:r>
      <w:r>
        <w:t xml:space="preserve"> </w:t>
      </w:r>
      <w:r>
        <w:t xml:space="preserve">exferlgdxz</w:t>
      </w:r>
      <w:r>
        <w:t xml:space="preserve">, this PCF analysis for product</w:t>
      </w:r>
      <w:r>
        <w:t xml:space="preserve"> </w:t>
      </w:r>
      <w:r>
        <w:t xml:space="preserve">slxtjppqho</w:t>
      </w:r>
      <w:r>
        <w:t xml:space="preserve"> </w:t>
      </w:r>
      <w:r>
        <w:t xml:space="preserve">is defined under the following parameters:</w:t>
      </w:r>
    </w:p>
    <w:p>
      <w:pPr>
        <w:numPr>
          <w:ilvl w:val="0"/>
          <w:numId w:val="1001"/>
        </w:numPr>
        <w:pStyle w:val="Compact"/>
      </w:pPr>
      <w:r>
        <w:rPr>
          <w:bCs/>
          <w:b/>
        </w:rPr>
        <w:t xml:space="preserve">Functional Unit:</w:t>
      </w:r>
      <w:r>
        <w:t xml:space="preserve"> </w:t>
      </w:r>
      <w:r>
        <w:t xml:space="preserve">1.0 unit of</w:t>
      </w:r>
      <w:r>
        <w:t xml:space="preserve"> </w:t>
      </w:r>
      <w:r>
        <w:t xml:space="preserve">slxtjppqho</w:t>
      </w:r>
      <w:r>
        <w:t xml:space="preserve">. This unit serves as the basis for all quantified environmental impacts, ensuring comparability and relevance.</w:t>
      </w:r>
    </w:p>
    <w:p>
      <w:pPr>
        <w:numPr>
          <w:ilvl w:val="0"/>
          <w:numId w:val="1001"/>
        </w:numPr>
        <w:pStyle w:val="Compact"/>
      </w:pPr>
      <w:r>
        <w:rPr>
          <w:bCs/>
          <w:b/>
        </w:rPr>
        <w:t xml:space="preserve">System Boundary:</w:t>
      </w:r>
      <w:r>
        <w:t xml:space="preserve"> </w:t>
      </w:r>
      <w:r>
        <w:t xml:space="preserve">The analysis adopts a</w:t>
      </w:r>
      <w:r>
        <w:t xml:space="preserve"> </w:t>
      </w:r>
      <w:r>
        <w:t xml:space="preserve">factory_gate</w:t>
      </w:r>
      <w:r>
        <w:t xml:space="preserve"> </w:t>
      </w:r>
      <w:r>
        <w:t xml:space="preserve">system boundary for the direct operational control. However, a comprehensive cradle-to-grave approach is applied to capture all significant upstream (e.g., raw material extraction, manufacturing of components, inbound logistics) and downstream (e.g., outbound logistics, product use, end-of-life) emissions within Scope 3, as per GHG Protocol requirements.</w:t>
      </w:r>
    </w:p>
    <w:p>
      <w:pPr>
        <w:numPr>
          <w:ilvl w:val="0"/>
          <w:numId w:val="1001"/>
        </w:numPr>
        <w:pStyle w:val="Compact"/>
      </w:pPr>
      <w:r>
        <w:rPr>
          <w:bCs/>
          <w:b/>
        </w:rPr>
        <w:t xml:space="preserve">Geographic Scope:</w:t>
      </w:r>
      <w:r>
        <w:t xml:space="preserve"> </w:t>
      </w:r>
      <w:r>
        <w:t xml:space="preserve">Final production occurs in</w:t>
      </w:r>
      <w:r>
        <w:t xml:space="preserve"> </w:t>
      </w:r>
      <w:r>
        <w:t xml:space="preserve">China</w:t>
      </w:r>
      <w:r>
        <w:t xml:space="preserve">, with a</w:t>
      </w:r>
      <w:r>
        <w:t xml:space="preserve"> </w:t>
      </w:r>
      <w:r>
        <w:t xml:space="preserve">Europe Focused</w:t>
      </w:r>
      <w:r>
        <w:t xml:space="preserve"> </w:t>
      </w:r>
      <w:r>
        <w:t xml:space="preserve">supply chain, reflecting the primary sourcing and distribution regions. This geographic focus informs the selection of region-specific emission factors where available.</w:t>
      </w:r>
    </w:p>
    <w:p>
      <w:pPr>
        <w:numPr>
          <w:ilvl w:val="0"/>
          <w:numId w:val="1001"/>
        </w:numPr>
        <w:pStyle w:val="Compact"/>
      </w:pPr>
      <w:r>
        <w:rPr>
          <w:bCs/>
          <w:b/>
        </w:rPr>
        <w:t xml:space="preserve">Accounting Standard:</w:t>
      </w:r>
      <w:r>
        <w:t xml:space="preserve"> </w:t>
      </w:r>
      <w:r>
        <w:t xml:space="preserve">The methodology rigorously follows the</w:t>
      </w:r>
      <w:r>
        <w:t xml:space="preserve"> </w:t>
      </w:r>
      <w:r>
        <w:t xml:space="preserve">GHG Protocol</w:t>
      </w:r>
      <w:r>
        <w:t xml:space="preserve">\'s Product Standard, ensuring transparent and credible reporting of greenhouse gas emissions. All emissions are reported in CO2 equivalents (CO2e).</w:t>
      </w:r>
    </w:p>
    <w:p>
      <w:pPr>
        <w:numPr>
          <w:ilvl w:val="0"/>
          <w:numId w:val="1001"/>
        </w:numPr>
        <w:pStyle w:val="Compact"/>
      </w:pPr>
      <w:r>
        <w:rPr>
          <w:bCs/>
          <w:b/>
        </w:rPr>
        <w:t xml:space="preserve">Allocation:</w:t>
      </w:r>
      <w:r>
        <w:t xml:space="preserve"> </w:t>
      </w:r>
      <w:r>
        <w:t xml:space="preserve">Where shared processes or facilities exist, emissions are allocated to</w:t>
      </w:r>
      <w:r>
        <w:t xml:space="preserve"> </w:t>
      </w:r>
      <w:r>
        <w:t xml:space="preserve">slxtjppqho</w:t>
      </w:r>
      <w:r>
        <w:t xml:space="preserve"> </w:t>
      </w:r>
      <w:r>
        <w:t xml:space="preserve">based on mass, economic value, or other relevant physical parameters, ensuring no double-counting and full accountability.</w:t>
      </w:r>
    </w:p>
    <w:p>
      <w:r>
        <w:pict>
          <v:rect style="width:0;height:1.5pt" o:hralign="center" o:hrstd="t" o:hr="t"/>
        </w:pict>
      </w:r>
    </w:p>
    <w:bookmarkEnd w:id="22"/>
    <w:bookmarkStart w:id="28" w:name="lifecycle-mapping-lci-inventory-stages"/>
    <w:p>
      <w:pPr>
        <w:pStyle w:val="Heading2"/>
      </w:pPr>
      <w:r>
        <w:t xml:space="preserve">2. Lifecycle Mapping (LCI Inventory Stages)</w:t>
      </w:r>
    </w:p>
    <w:p>
      <w:pPr>
        <w:pStyle w:val="FirstParagraph"/>
      </w:pPr>
      <w:r>
        <w:t xml:space="preserve">The lifecycle of</w:t>
      </w:r>
      <w:r>
        <w:t xml:space="preserve"> </w:t>
      </w:r>
      <w:r>
        <w:t xml:space="preserve">slxtjppqho</w:t>
      </w:r>
      <w:r>
        <w:t xml:space="preserve"> </w:t>
      </w:r>
      <w:r>
        <w:t xml:space="preserve">is mapped into several key stages to systematically identify and quantify all associated greenhouse gas emissions:</w:t>
      </w:r>
    </w:p>
    <w:bookmarkStart w:id="23" w:name="X6cabf50606720861dfc0d456c701d65f990a8d1"/>
    <w:p>
      <w:pPr>
        <w:pStyle w:val="Heading3"/>
      </w:pPr>
      <w:r>
        <w:t xml:space="preserve">2.1. Material Acquisition &amp; Pre-processing (Upstream)</w:t>
      </w:r>
    </w:p>
    <w:p>
      <w:pPr>
        <w:pStyle w:val="FirstParagraph"/>
      </w:pPr>
      <w:r>
        <w:t xml:space="preserve">This stage includes the extraction, production, and initial processing of all raw materials and components detailed in the Bill of Materials (BOM),</w:t>
      </w:r>
      <w:r>
        <w:t xml:space="preserve"> </w:t>
      </w:r>
      <w:r>
        <w:t xml:space="preserve">rklmixoq</w:t>
      </w:r>
      <w:r>
        <w:t xml:space="preserve">. Emissions here are categorized as Scope 3, upstream, specifically under Purchased Goods and Services. To illustrate the detailed BOM, representative data following the specified format is presented: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E002</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P004</w:t>
            </w:r>
          </w:p>
        </w:tc>
        <w:tc>
          <w:tcPr/>
          <w:p>
            <w:pPr>
              <w:pStyle w:val="Compact"/>
              <w:jc w:val="left"/>
            </w:pPr>
            <w:r>
              <w:t xml:space="preserve">Packaging Material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t xml:space="preserve">The emission factors for plastics are based on typical ranges for various plastic types, such as PET, HDPE, and PP, which can vary from approximately 1.1 to 3.88 kg CO2e/kg depending on the specific resin and production process. For electronics, manufacturing is highly energy-intensive, and factors for components consider complex supply chains. Metal production, especially steel, also shows significant variation (0.04 to 2.2 tonnes CO2 per tonne steel) depending on whether it\'s primary or secondary production.</w:t>
      </w:r>
    </w:p>
    <w:bookmarkEnd w:id="23"/>
    <w:bookmarkStart w:id="24" w:name="manufacturing-assembly-core-production"/>
    <w:p>
      <w:pPr>
        <w:pStyle w:val="Heading3"/>
      </w:pPr>
      <w:r>
        <w:t xml:space="preserve">2.2. Manufacturing &amp; Assembly (Core Production)</w:t>
      </w:r>
    </w:p>
    <w:p>
      <w:pPr>
        <w:pStyle w:val="FirstParagraph"/>
      </w:pPr>
      <w:r>
        <w:t xml:space="preserve">This stage covers the energy consumption during the manufacturing and assembly of</w:t>
      </w:r>
      <w:r>
        <w:t xml:space="preserve"> </w:t>
      </w:r>
      <w:r>
        <w:t xml:space="preserve">slxtjppqho</w:t>
      </w:r>
      <w:r>
        <w:t xml:space="preserve"> </w:t>
      </w:r>
      <w:r>
        <w:t xml:space="preserve">at the</w:t>
      </w:r>
      <w:r>
        <w:t xml:space="preserve"> </w:t>
      </w:r>
      <w:r>
        <w:t xml:space="preserve">kvrijmxrtl</w:t>
      </w:r>
      <w:r>
        <w:t xml:space="preserve"> </w:t>
      </w:r>
      <w:r>
        <w:t xml:space="preserve">facility in</w:t>
      </w:r>
      <w:r>
        <w:t xml:space="preserve"> </w:t>
      </w:r>
      <w:r>
        <w:t xml:space="preserve">China</w:t>
      </w:r>
      <w:r>
        <w:t xml:space="preserve">. This includes:</w:t>
      </w:r>
    </w:p>
    <w:p>
      <w:pPr>
        <w:numPr>
          <w:ilvl w:val="0"/>
          <w:numId w:val="1002"/>
        </w:numPr>
        <w:pStyle w:val="Compact"/>
      </w:pPr>
      <w:r>
        <w:rPr>
          <w:bCs/>
          <w:b/>
        </w:rPr>
        <w:t xml:space="preserve">Direct Energy Consumption:</w:t>
      </w:r>
      <w:r>
        <w:t xml:space="preserve"> </w:t>
      </w:r>
      <w:r>
        <w:t xml:space="preserve">Energy used for machinery, heating, and cooling within the factory.</w:t>
      </w:r>
    </w:p>
    <w:p>
      <w:pPr>
        <w:numPr>
          <w:ilvl w:val="0"/>
          <w:numId w:val="1002"/>
        </w:numPr>
        <w:pStyle w:val="Compact"/>
      </w:pPr>
      <w:r>
        <w:rPr>
          <w:bCs/>
          <w:b/>
        </w:rPr>
        <w:t xml:space="preserve">Purchased Electricity:</w:t>
      </w:r>
      <w:r>
        <w:t xml:space="preserve"> </w:t>
      </w:r>
      <w:r>
        <w:t xml:space="preserve">Emissions associated with electricity procured from the grid.</w:t>
      </w:r>
    </w:p>
    <w:p>
      <w:pPr>
        <w:pStyle w:val="FirstParagraph"/>
      </w:pPr>
      <w:r>
        <w:t xml:space="preserve">This stage generates Scope 1 (direct combustion, if any) and Scope 2 (purchased electricity) emissions.</w:t>
      </w:r>
    </w:p>
    <w:bookmarkEnd w:id="24"/>
    <w:bookmarkStart w:id="25" w:name="Xd8f378931ebd8034bb3f29254780bc10c4538f6"/>
    <w:p>
      <w:pPr>
        <w:pStyle w:val="Heading3"/>
      </w:pPr>
      <w:r>
        <w:t xml:space="preserve">2.3. Transportation &amp; Distribution (Upstream &amp; Downstream)</w:t>
      </w:r>
    </w:p>
    <w:p>
      <w:pPr>
        <w:pStyle w:val="FirstParagraph"/>
      </w:pPr>
      <w:r>
        <w:t xml:space="preserve">Emissions from logistics throughout the value chain, categorized as Scope 3:</w:t>
      </w:r>
    </w:p>
    <w:p>
      <w:pPr>
        <w:numPr>
          <w:ilvl w:val="0"/>
          <w:numId w:val="1003"/>
        </w:numPr>
        <w:pStyle w:val="Compact"/>
      </w:pPr>
      <w:r>
        <w:rPr>
          <w:bCs/>
          <w:b/>
        </w:rPr>
        <w:t xml:space="preserve">Upstream Transport:</w:t>
      </w:r>
      <w:r>
        <w:t xml:space="preserve"> </w:t>
      </w:r>
      <w:r>
        <w:t xml:space="preserve">Inbound logistics of raw materials and components to the production facility.</w:t>
      </w:r>
    </w:p>
    <w:p>
      <w:pPr>
        <w:numPr>
          <w:ilvl w:val="0"/>
          <w:numId w:val="1003"/>
        </w:numPr>
        <w:pStyle w:val="Compact"/>
      </w:pPr>
      <w:r>
        <w:rPr>
          <w:bCs/>
          <w:b/>
        </w:rPr>
        <w:t xml:space="preserve">Downstream Transport:</w:t>
      </w:r>
      <w:r>
        <w:t xml:space="preserve"> </w:t>
      </w:r>
      <w:r>
        <w:t xml:space="preserve">Outbound logistics from the factory to the final customer, including</w:t>
      </w:r>
      <w:r>
        <w:t xml:space="preserve"> </w:t>
      </w:r>
      <w:r>
        <w:t xml:space="preserve">Last-Mile Delivery</w:t>
      </w:r>
      <w:r>
        <w:t xml:space="preserve">.</w:t>
      </w:r>
    </w:p>
    <w:bookmarkEnd w:id="25"/>
    <w:bookmarkStart w:id="26" w:name="product-use-phase-downstream"/>
    <w:p>
      <w:pPr>
        <w:pStyle w:val="Heading3"/>
      </w:pPr>
      <w:r>
        <w:t xml:space="preserve">2.4. Product Use Phase (Downstream)</w:t>
      </w:r>
    </w:p>
    <w:p>
      <w:pPr>
        <w:pStyle w:val="FirstParagraph"/>
      </w:pPr>
      <w:r>
        <w:t xml:space="preserve">Emissions generated during the active use of</w:t>
      </w:r>
      <w:r>
        <w:t xml:space="preserve"> </w:t>
      </w:r>
      <w:r>
        <w:t xml:space="preserve">slxtjppqho</w:t>
      </w:r>
      <w:r>
        <w:t xml:space="preserve"> </w:t>
      </w:r>
      <w:r>
        <w:t xml:space="preserve">by the consumer, primarily from energy consumption, over its</w:t>
      </w:r>
      <w:r>
        <w:t xml:space="preserve"> </w:t>
      </w:r>
      <w:r>
        <w:t xml:space="preserve">Product Lifespan</w:t>
      </w:r>
      <w:r>
        <w:t xml:space="preserve">. These are Scope 3, downstream emissions.</w:t>
      </w:r>
    </w:p>
    <w:bookmarkEnd w:id="26"/>
    <w:bookmarkStart w:id="27" w:name="end-of-life-eol-downstream"/>
    <w:p>
      <w:pPr>
        <w:pStyle w:val="Heading3"/>
      </w:pPr>
      <w:r>
        <w:t xml:space="preserve">2.5. End-of-Life (EoL) (Downstream)</w:t>
      </w:r>
    </w:p>
    <w:p>
      <w:pPr>
        <w:pStyle w:val="FirstParagraph"/>
      </w:pPr>
      <w:r>
        <w:t xml:space="preserve">Emissions and potential avoided emissions associated with the disposal or recovery of</w:t>
      </w:r>
      <w:r>
        <w:t xml:space="preserve"> </w:t>
      </w:r>
      <w:r>
        <w:t xml:space="preserve">slxtjppqho</w:t>
      </w:r>
      <w:r>
        <w:t xml:space="preserve"> </w:t>
      </w:r>
      <w:r>
        <w:t xml:space="preserve">at the end of its life, considering its</w:t>
      </w:r>
      <w:r>
        <w:t xml:space="preserve"> </w:t>
      </w:r>
      <w:r>
        <w:t xml:space="preserve">Recyclability Percentage</w:t>
      </w:r>
      <w:r>
        <w:t xml:space="preserve"> </w:t>
      </w:r>
      <w:r>
        <w:t xml:space="preserve">and any</w:t>
      </w:r>
      <w:r>
        <w:t xml:space="preserve"> </w:t>
      </w:r>
      <w:r>
        <w:t xml:space="preserve">Circular/Take-back Programs</w:t>
      </w:r>
      <w:r>
        <w:t xml:space="preserve">. These are Scope 3, downstream emissions.</w:t>
      </w:r>
    </w:p>
    <w:p>
      <w:r>
        <w:pict>
          <v:rect style="width:0;height:1.5pt" o:hralign="center" o:hrstd="t" o:hr="t"/>
        </w:pict>
      </w:r>
    </w:p>
    <w:bookmarkEnd w:id="27"/>
    <w:bookmarkEnd w:id="28"/>
    <w:bookmarkStart w:id="29" w:name="data-collection"/>
    <w:p>
      <w:pPr>
        <w:pStyle w:val="Heading2"/>
      </w:pPr>
      <w:r>
        <w:t xml:space="preserve">3. Data Collection</w:t>
      </w:r>
    </w:p>
    <w:p>
      <w:pPr>
        <w:pStyle w:val="FirstParagraph"/>
      </w:pPr>
      <w:r>
        <w:t xml:space="preserve">The PCF analysis integrates both primary and secondary data points:</w:t>
      </w:r>
    </w:p>
    <w:p>
      <w:pPr>
        <w:numPr>
          <w:ilvl w:val="0"/>
          <w:numId w:val="1004"/>
        </w:numPr>
        <w:pStyle w:val="Compact"/>
      </w:pPr>
      <w:r>
        <w:rPr>
          <w:bCs/>
          <w:b/>
        </w:rPr>
        <w:t xml:space="preserve">Detailed Bill of Materials (BOM):</w:t>
      </w:r>
      <w:r>
        <w:t xml:space="preserve"> </w:t>
      </w:r>
      <w:r>
        <w:t xml:space="preserve">The provided</w:t>
      </w:r>
      <w:r>
        <w:t xml:space="preserve"> </w:t>
      </w:r>
      <w:r>
        <w:t xml:space="preserve">rklmixoq</w:t>
      </w:r>
      <w:r>
        <w:t xml:space="preserve"> </w:t>
      </w:r>
      <w:r>
        <w:t xml:space="preserve">is used for high-accuracy material impact calculation. As illustrated in Section 2.1, this BOM includes specific emission factors and total carbon values for each item, directly informing material-related emissions.</w:t>
      </w:r>
    </w:p>
    <w:p>
      <w:pPr>
        <w:numPr>
          <w:ilvl w:val="0"/>
          <w:numId w:val="1004"/>
        </w:numPr>
        <w:pStyle w:val="Compact"/>
      </w:pPr>
      <w:r>
        <w:rPr>
          <w:bCs/>
          <w:b/>
        </w:rPr>
        <w:t xml:space="preserve">Transport Data:</w:t>
      </w:r>
    </w:p>
    <w:p>
      <w:pPr>
        <w:numPr>
          <w:ilvl w:val="1"/>
          <w:numId w:val="1005"/>
        </w:numPr>
        <w:pStyle w:val="Compact"/>
      </w:pPr>
      <w:r>
        <w:rPr>
          <w:bCs/>
          <w:b/>
        </w:rPr>
        <w:t xml:space="preserve">Transport Mode:</w:t>
      </w:r>
      <w:r>
        <w:t xml:space="preserve"> </w:t>
      </w:r>
      <w:r>
        <w:t xml:space="preserve">Select Mode</w:t>
      </w:r>
      <w:r>
        <w:t xml:space="preserve"> </w:t>
      </w:r>
      <w:r>
        <w:t xml:space="preserve">(e.g., Road freight - HGV &gt; 32t for inter-European supply chain).</w:t>
      </w:r>
    </w:p>
    <w:p>
      <w:pPr>
        <w:numPr>
          <w:ilvl w:val="1"/>
          <w:numId w:val="1005"/>
        </w:numPr>
        <w:pStyle w:val="Compact"/>
      </w:pPr>
      <w:r>
        <w:rPr>
          <w:bCs/>
          <w:b/>
        </w:rPr>
        <w:t xml:space="preserve">Transport Distance:</w:t>
      </w:r>
      <w:r>
        <w:t xml:space="preserve"> </w:t>
      </w:r>
      <w:r>
        <w:t xml:space="preserve">rdzglslgqt</w:t>
      </w:r>
      <w:r>
        <w:t xml:space="preserve"> </w:t>
      </w:r>
      <w:r>
        <w:t xml:space="preserve">(e.g., 1,500 km for raw material inbound).</w:t>
      </w:r>
    </w:p>
    <w:p>
      <w:pPr>
        <w:numPr>
          <w:ilvl w:val="1"/>
          <w:numId w:val="1005"/>
        </w:numPr>
        <w:pStyle w:val="Compact"/>
      </w:pPr>
      <w:r>
        <w:rPr>
          <w:bCs/>
          <w:b/>
        </w:rPr>
        <w:t xml:space="preserve">Last-Mile Delivery Channel:</w:t>
      </w:r>
      <w:r>
        <w:t xml:space="preserve"> </w:t>
      </w:r>
      <w:r>
        <w:t xml:space="preserve">Delivery Type</w:t>
      </w:r>
      <w:r>
        <w:t xml:space="preserve"> </w:t>
      </w:r>
      <w:r>
        <w:t xml:space="preserve">(e.g., Van/Light Commercial Vehicle for last-mile delivery).</w:t>
      </w:r>
    </w:p>
    <w:p>
      <w:pPr>
        <w:numPr>
          <w:ilvl w:val="0"/>
          <w:numId w:val="1004"/>
        </w:numPr>
        <w:pStyle w:val="Compact"/>
      </w:pPr>
      <w:r>
        <w:rPr>
          <w:bCs/>
          <w:b/>
        </w:rPr>
        <w:t xml:space="preserve">Production Energy Data:</w:t>
      </w:r>
    </w:p>
    <w:p>
      <w:pPr>
        <w:numPr>
          <w:ilvl w:val="1"/>
          <w:numId w:val="1006"/>
        </w:numPr>
        <w:pStyle w:val="Compact"/>
      </w:pPr>
      <w:r>
        <w:rPr>
          <w:bCs/>
          <w:b/>
        </w:rPr>
        <w:t xml:space="preserve">Renewable Energy Usage:</w:t>
      </w:r>
      <w:r>
        <w:t xml:space="preserve"> </w:t>
      </w:r>
      <w:r>
        <w:t xml:space="preserve">lhoqvkurvk</w:t>
      </w:r>
      <w:r>
        <w:t xml:space="preserve"> </w:t>
      </w:r>
      <w:r>
        <w:t xml:space="preserve">(e.g., 50% renewable energy procurement).</w:t>
      </w:r>
    </w:p>
    <w:p>
      <w:pPr>
        <w:numPr>
          <w:ilvl w:val="1"/>
          <w:numId w:val="1006"/>
        </w:numPr>
        <w:pStyle w:val="Compact"/>
      </w:pPr>
      <w:r>
        <w:rPr>
          <w:bCs/>
          <w:b/>
        </w:rPr>
        <w:t xml:space="preserve">Energy Intensity (kWh/unit):</w:t>
      </w:r>
      <w:r>
        <w:t xml:space="preserve"> </w:t>
      </w:r>
      <w:r>
        <w:t xml:space="preserve">umvsoihgyi</w:t>
      </w:r>
      <w:r>
        <w:t xml:space="preserve"> </w:t>
      </w:r>
      <w:r>
        <w:t xml:space="preserve">(e.g., 15 kWh/unit for manufacturing).</w:t>
      </w:r>
    </w:p>
    <w:p>
      <w:pPr>
        <w:numPr>
          <w:ilvl w:val="0"/>
          <w:numId w:val="1004"/>
        </w:numPr>
        <w:pStyle w:val="Compact"/>
      </w:pPr>
      <w:r>
        <w:rPr>
          <w:bCs/>
          <w:b/>
        </w:rPr>
        <w:t xml:space="preserve">Use Phase Data:</w:t>
      </w:r>
    </w:p>
    <w:p>
      <w:pPr>
        <w:numPr>
          <w:ilvl w:val="1"/>
          <w:numId w:val="1007"/>
        </w:numPr>
        <w:pStyle w:val="Compact"/>
      </w:pPr>
      <w:r>
        <w:rPr>
          <w:bCs/>
          <w:b/>
        </w:rPr>
        <w:t xml:space="preserve">Product Lifespan:</w:t>
      </w:r>
      <w:r>
        <w:t xml:space="preserve"> </w:t>
      </w:r>
      <w:r>
        <w:t xml:space="preserve">hqgfnpnhxq</w:t>
      </w:r>
      <w:r>
        <w:t xml:space="preserve"> </w:t>
      </w:r>
      <w:r>
        <w:t xml:space="preserve">(e.g., 5 years).</w:t>
      </w:r>
    </w:p>
    <w:p>
      <w:pPr>
        <w:numPr>
          <w:ilvl w:val="1"/>
          <w:numId w:val="1007"/>
        </w:numPr>
        <w:pStyle w:val="Compact"/>
      </w:pPr>
      <w:r>
        <w:rPr>
          <w:bCs/>
          <w:b/>
        </w:rPr>
        <w:t xml:space="preserve">Energy Consumption in Use:</w:t>
      </w:r>
      <w:r>
        <w:t xml:space="preserve"> </w:t>
      </w:r>
      <w:r>
        <w:t xml:space="preserve">vliuqjxewk</w:t>
      </w:r>
      <w:r>
        <w:t xml:space="preserve"> </w:t>
      </w:r>
      <w:r>
        <w:t xml:space="preserve">(e.g., 10 kWh/year).</w:t>
      </w:r>
    </w:p>
    <w:p>
      <w:pPr>
        <w:numPr>
          <w:ilvl w:val="0"/>
          <w:numId w:val="1004"/>
        </w:numPr>
        <w:pStyle w:val="Compact"/>
      </w:pPr>
      <w:r>
        <w:rPr>
          <w:bCs/>
          <w:b/>
        </w:rPr>
        <w:t xml:space="preserve">End-of-Life Data:</w:t>
      </w:r>
    </w:p>
    <w:p>
      <w:pPr>
        <w:numPr>
          <w:ilvl w:val="1"/>
          <w:numId w:val="1008"/>
        </w:numPr>
        <w:pStyle w:val="Compact"/>
      </w:pPr>
      <w:r>
        <w:rPr>
          <w:bCs/>
          <w:b/>
        </w:rPr>
        <w:t xml:space="preserve">Recyclability Percentage:</w:t>
      </w:r>
      <w:r>
        <w:t xml:space="preserve"> </w:t>
      </w:r>
      <w:r>
        <w:t xml:space="preserve">dvtvqgmgjd</w:t>
      </w:r>
      <w:r>
        <w:t xml:space="preserve"> </w:t>
      </w:r>
      <w:r>
        <w:t xml:space="preserve">(e.g., 70% of product mass is recyclable).</w:t>
      </w:r>
    </w:p>
    <w:p>
      <w:pPr>
        <w:numPr>
          <w:ilvl w:val="1"/>
          <w:numId w:val="1008"/>
        </w:numPr>
        <w:pStyle w:val="Compact"/>
      </w:pPr>
      <w:r>
        <w:rPr>
          <w:bCs/>
          <w:b/>
        </w:rPr>
        <w:t xml:space="preserve">Circular/Take-back Programs:</w:t>
      </w:r>
      <w:r>
        <w:t xml:space="preserve"> </w:t>
      </w:r>
      <w:r>
        <w:t xml:space="preserve">nlzejvsywn</w:t>
      </w:r>
      <w:r>
        <w:t xml:space="preserve"> </w:t>
      </w:r>
      <w:r>
        <w:t xml:space="preserve">(e.g., kvrijmxrtl has established regional take-back programs).</w:t>
      </w:r>
    </w:p>
    <w:p>
      <w:pPr>
        <w:numPr>
          <w:ilvl w:val="0"/>
          <w:numId w:val="1004"/>
        </w:numPr>
        <w:pStyle w:val="Compact"/>
      </w:pPr>
      <w:r>
        <w:rPr>
          <w:bCs/>
          <w:b/>
        </w:rPr>
        <w:t xml:space="preserve">Emission Factors:</w:t>
      </w:r>
      <w:r>
        <w:t xml:space="preserve"> </w:t>
      </w:r>
      <w:r>
        <w:t xml:space="preserve">Industry-standard emission factors are sourced from reputable databases like Ecoinvent and DEFRA where specific BOM or process data are not available. This includes factors for electricity grids, transportation modes, and waste management.</w:t>
      </w:r>
    </w:p>
    <w:p>
      <w:r>
        <w:pict>
          <v:rect style="width:0;height:1.5pt" o:hralign="center" o:hrstd="t" o:hr="t"/>
        </w:pict>
      </w:r>
    </w:p>
    <w:bookmarkEnd w:id="29"/>
    <w:bookmarkStart w:id="37" w:name="emission-calculation"/>
    <w:p>
      <w:pPr>
        <w:pStyle w:val="Heading2"/>
      </w:pPr>
      <w:r>
        <w:t xml:space="preserve">4. Emission Calculation</w:t>
      </w:r>
    </w:p>
    <w:p>
      <w:pPr>
        <w:pStyle w:val="FirstParagraph"/>
      </w:pPr>
      <w:r>
        <w:t xml:space="preserve">Emissions are calculated for each lifecycle stage using the formula: Activity Data × Emission Factor = CO2e. These are then categorized according to the GHG Protocol\'s Scope 1, 2, and 3 definitions.</w:t>
      </w:r>
    </w:p>
    <w:bookmarkStart w:id="30" w:name="scope-1-emissions-direct-emissions"/>
    <w:p>
      <w:pPr>
        <w:pStyle w:val="Heading3"/>
      </w:pPr>
      <w:r>
        <w:t xml:space="preserve">4.1. Scope 1 Emissions (Direct Emissions)</w:t>
      </w:r>
    </w:p>
    <w:p>
      <w:pPr>
        <w:pStyle w:val="FirstParagraph"/>
      </w:pPr>
      <w:r>
        <w:t xml:space="preserve">For this product-level analysis with a "factory_gate" system boundary focused on indirect emissions, direct Scope 1 emissions from owned or controlled sources of</w:t>
      </w:r>
      <w:r>
        <w:t xml:space="preserve"> </w:t>
      </w:r>
      <w:r>
        <w:t xml:space="preserve">kvrijmxrtl</w:t>
      </w:r>
      <w:r>
        <w:t xml:space="preserve"> </w:t>
      </w:r>
      <w:r>
        <w:t xml:space="preserve">operations (e.g., on-site fuel combustion) are assumed to be minimal or zero for the product unit, as the energy consumption is primarily purchased electricity. If any on-site fuel combustion contributes directly to the manufacturing of</w:t>
      </w:r>
      <w:r>
        <w:t xml:space="preserve"> </w:t>
      </w:r>
      <w:r>
        <w:t xml:space="preserve">slxtjppqho</w:t>
      </w:r>
      <w:r>
        <w:t xml:space="preserve">, it would be quantified here.</w:t>
      </w:r>
    </w:p>
    <w:bookmarkEnd w:id="30"/>
    <w:bookmarkStart w:id="31" w:name="Xea3a0be011cd6660e8b4fde47b2db6c687f0551"/>
    <w:p>
      <w:pPr>
        <w:pStyle w:val="Heading3"/>
      </w:pPr>
      <w:r>
        <w:t xml:space="preserve">4.2. Scope 2 Emissions (Purchased Energy Emissions)</w:t>
      </w:r>
    </w:p>
    <w:p>
      <w:pPr>
        <w:pStyle w:val="FirstParagraph"/>
      </w:pPr>
      <w:r>
        <w:t xml:space="preserve">These are indirect emissions from the generation of purchased electricity, heat, or steam consumed by</w:t>
      </w:r>
      <w:r>
        <w:t xml:space="preserve"> </w:t>
      </w:r>
      <w:r>
        <w:t xml:space="preserve">kvrijmxrtl</w:t>
      </w:r>
      <w:r>
        <w:t xml:space="preserve">\'s production facility.</w:t>
      </w:r>
    </w:p>
    <w:p>
      <w:pPr>
        <w:numPr>
          <w:ilvl w:val="0"/>
          <w:numId w:val="1009"/>
        </w:numPr>
        <w:pStyle w:val="Compact"/>
      </w:pPr>
      <w:r>
        <w:rPr>
          <w:bCs/>
          <w:b/>
        </w:rPr>
        <w:t xml:space="preserve">Production Energy Intensity:</w:t>
      </w:r>
      <w:r>
        <w:t xml:space="preserve"> </w:t>
      </w:r>
      <w:r>
        <w:t xml:space="preserve">umvsoihgyi</w:t>
      </w:r>
      <w:r>
        <w:t xml:space="preserve"> </w:t>
      </w:r>
      <w:r>
        <w:t xml:space="preserve">(e.g., 15 kWh/unit)</w:t>
      </w:r>
    </w:p>
    <w:p>
      <w:pPr>
        <w:numPr>
          <w:ilvl w:val="0"/>
          <w:numId w:val="1009"/>
        </w:numPr>
        <w:pStyle w:val="Compact"/>
      </w:pPr>
      <w:r>
        <w:rPr>
          <w:bCs/>
          <w:b/>
        </w:rPr>
        <w:t xml:space="preserve">Renewable Energy Usage:</w:t>
      </w:r>
      <w:r>
        <w:t xml:space="preserve"> </w:t>
      </w:r>
      <w:r>
        <w:t xml:space="preserve">lhoqvkurvk</w:t>
      </w:r>
      <w:r>
        <w:t xml:space="preserve"> </w:t>
      </w:r>
      <w:r>
        <w:t xml:space="preserve">(e.g., 50%)</w:t>
      </w:r>
    </w:p>
    <w:p>
      <w:pPr>
        <w:numPr>
          <w:ilvl w:val="0"/>
          <w:numId w:val="1009"/>
        </w:numPr>
        <w:pStyle w:val="Compact"/>
      </w:pPr>
      <w:r>
        <w:rPr>
          <w:bCs/>
          <w:b/>
        </w:rPr>
        <w:t xml:space="preserve">Non-Renewable Energy Consumption:</w:t>
      </w:r>
      <w:r>
        <w:t xml:space="preserve"> </w:t>
      </w:r>
      <w:r>
        <w:t xml:space="preserve">15 kWh/unit × (1 - 0.50) = 7.5 kWh/unit</w:t>
      </w:r>
    </w:p>
    <w:p>
      <w:pPr>
        <w:numPr>
          <w:ilvl w:val="0"/>
          <w:numId w:val="1009"/>
        </w:numPr>
        <w:pStyle w:val="Compact"/>
      </w:pPr>
      <w:r>
        <w:rPr>
          <w:bCs/>
          <w:b/>
        </w:rPr>
        <w:t xml:space="preserve">Emission Factor (China Grid Average):</w:t>
      </w:r>
      <w:r>
        <w:t xml:space="preserve"> </w:t>
      </w:r>
      <w:r>
        <w:t xml:space="preserve">Approx. 0.6 kg CO2e/kWh.</w:t>
      </w:r>
    </w:p>
    <w:p>
      <w:pPr>
        <w:numPr>
          <w:ilvl w:val="0"/>
          <w:numId w:val="1009"/>
        </w:numPr>
        <w:pStyle w:val="Compact"/>
      </w:pPr>
      <w:r>
        <w:rPr>
          <w:bCs/>
          <w:b/>
        </w:rPr>
        <w:t xml:space="preserve">Scope 2 Emissions:</w:t>
      </w:r>
      <w:r>
        <w:t xml:space="preserve"> </w:t>
      </w:r>
      <w:r>
        <w:t xml:space="preserve">7.5 kWh/unit × 0.6 kg CO2e/kWh =</w:t>
      </w:r>
      <w:r>
        <w:t xml:space="preserve"> </w:t>
      </w:r>
      <w:r>
        <w:t xml:space="preserve">4.50 kg CO2e</w:t>
      </w:r>
    </w:p>
    <w:bookmarkEnd w:id="31"/>
    <w:bookmarkStart w:id="34" w:name="scope-3-emissions-value-chain-emissions"/>
    <w:p>
      <w:pPr>
        <w:pStyle w:val="Heading3"/>
      </w:pPr>
      <w:r>
        <w:t xml:space="preserve">4.3. Scope 3 Emissions (Value Chain Emissions)</w:t>
      </w:r>
    </w:p>
    <w:p>
      <w:pPr>
        <w:pStyle w:val="FirstParagraph"/>
      </w:pPr>
      <w:r>
        <w:t xml:space="preserve">Scope 3 emissions encompass all other indirect emissions in the value chain, both upstream and downstream. This analysis ensures at least 95% coverage for Scope 3 reporting, as per 2026 requirements.</w:t>
      </w:r>
    </w:p>
    <w:bookmarkStart w:id="32" w:name="upstream-emissions-categories-1-8"/>
    <w:p>
      <w:pPr>
        <w:pStyle w:val="Heading4"/>
      </w:pPr>
      <w:r>
        <w:t xml:space="preserve">4.3.1. Upstream Emissions (Categories 1-8)</w:t>
      </w:r>
    </w:p>
    <w:p>
      <w:pPr>
        <w:numPr>
          <w:ilvl w:val="0"/>
          <w:numId w:val="1010"/>
        </w:numPr>
        <w:pStyle w:val="Compact"/>
      </w:pPr>
      <w:r>
        <w:rPr>
          <w:bCs/>
          <w:b/>
        </w:rPr>
        <w:t xml:space="preserve">Purchased Goods and Services (Materials - based on</w:t>
      </w:r>
      <w:r>
        <w:rPr>
          <w:bCs/>
          <w:b/>
        </w:rPr>
        <w:t xml:space="preserve"> </w:t>
      </w:r>
      <w:r>
        <w:rPr>
          <w:bCs/>
          <w:b/>
        </w:rPr>
        <w:t xml:space="preserve">rklmixoq</w:t>
      </w:r>
      <w:r>
        <w:rPr>
          <w:bCs/>
          <w:b/>
        </w:rPr>
        <w:t xml:space="preserve">):</w:t>
      </w:r>
    </w:p>
    <w:p>
      <w:pPr>
        <w:numPr>
          <w:ilvl w:val="1"/>
          <w:numId w:val="1011"/>
        </w:numPr>
        <w:pStyle w:val="Compact"/>
      </w:pPr>
      <w:r>
        <w:t xml:space="preserve">Plastic Casing: 1.25 kg CO2e</w:t>
      </w:r>
    </w:p>
    <w:p>
      <w:pPr>
        <w:numPr>
          <w:ilvl w:val="1"/>
          <w:numId w:val="1011"/>
        </w:numPr>
        <w:pStyle w:val="Compact"/>
      </w:pPr>
      <w:r>
        <w:t xml:space="preserve">Circuit Board Assembly: 1.50 kg CO2e</w:t>
      </w:r>
    </w:p>
    <w:p>
      <w:pPr>
        <w:numPr>
          <w:ilvl w:val="1"/>
          <w:numId w:val="1011"/>
        </w:numPr>
        <w:pStyle w:val="Compact"/>
      </w:pPr>
      <w:r>
        <w:t xml:space="preserve">Metal Fasteners: 0.06 kg CO2e</w:t>
      </w:r>
    </w:p>
    <w:p>
      <w:pPr>
        <w:numPr>
          <w:ilvl w:val="1"/>
          <w:numId w:val="1011"/>
        </w:numPr>
        <w:pStyle w:val="Compact"/>
      </w:pPr>
      <w:r>
        <w:t xml:space="preserve">Packaging Material (Cardboard): 0.20 kg CO2e</w:t>
      </w:r>
    </w:p>
    <w:p>
      <w:pPr>
        <w:numPr>
          <w:ilvl w:val="1"/>
          <w:numId w:val="1011"/>
        </w:numPr>
        <w:pStyle w:val="Compact"/>
      </w:pPr>
      <w:r>
        <w:rPr>
          <w:bCs/>
          <w:b/>
        </w:rPr>
        <w:t xml:space="preserve">Total Material Emissions (Illustrative):</w:t>
      </w:r>
      <w:r>
        <w:t xml:space="preserve"> </w:t>
      </w:r>
      <w:r>
        <w:t xml:space="preserve">2.81 kg CO2e</w:t>
      </w:r>
    </w:p>
    <w:p>
      <w:pPr>
        <w:numPr>
          <w:ilvl w:val="0"/>
          <w:numId w:val="1010"/>
        </w:numPr>
        <w:pStyle w:val="Compact"/>
      </w:pPr>
      <w:r>
        <w:rPr>
          <w:bCs/>
          <w:b/>
        </w:rPr>
        <w:t xml:space="preserve">Upstream Transportation &amp; Distribution:</w:t>
      </w:r>
    </w:p>
    <w:p>
      <w:pPr>
        <w:numPr>
          <w:ilvl w:val="1"/>
          <w:numId w:val="1012"/>
        </w:numPr>
        <w:pStyle w:val="Compact"/>
      </w:pPr>
      <w:r>
        <w:rPr>
          <w:bCs/>
          <w:b/>
        </w:rPr>
        <w:t xml:space="preserve">Transport Mode:</w:t>
      </w:r>
      <w:r>
        <w:t xml:space="preserve"> </w:t>
      </w:r>
      <w:r>
        <w:t xml:space="preserve">Select Mode</w:t>
      </w:r>
      <w:r>
        <w:t xml:space="preserve"> </w:t>
      </w:r>
      <w:r>
        <w:t xml:space="preserve">(e.g., Road freight - HGV &gt; 32t)</w:t>
      </w:r>
    </w:p>
    <w:p>
      <w:pPr>
        <w:numPr>
          <w:ilvl w:val="1"/>
          <w:numId w:val="1012"/>
        </w:numPr>
        <w:pStyle w:val="Compact"/>
      </w:pPr>
      <w:r>
        <w:rPr>
          <w:bCs/>
          <w:b/>
        </w:rPr>
        <w:t xml:space="preserve">Transport Distance:</w:t>
      </w:r>
      <w:r>
        <w:t xml:space="preserve"> </w:t>
      </w:r>
      <w:r>
        <w:t xml:space="preserve">rdzglslgqt</w:t>
      </w:r>
      <w:r>
        <w:t xml:space="preserve"> </w:t>
      </w:r>
      <w:r>
        <w:t xml:space="preserve">(e.g., 1,500 km, assumed for main material transport within Europe)</w:t>
      </w:r>
    </w:p>
    <w:p>
      <w:pPr>
        <w:numPr>
          <w:ilvl w:val="1"/>
          <w:numId w:val="1012"/>
        </w:numPr>
        <w:pStyle w:val="Compact"/>
      </w:pPr>
      <w:r>
        <w:rPr>
          <w:bCs/>
          <w:b/>
        </w:rPr>
        <w:t xml:space="preserve">Assumed Product Weight for Transport:</w:t>
      </w:r>
      <w:r>
        <w:t xml:space="preserve"> </w:t>
      </w:r>
      <w:r>
        <w:t xml:space="preserve">1.0 kg (product + minimal packaging)</w:t>
      </w:r>
    </w:p>
    <w:p>
      <w:pPr>
        <w:numPr>
          <w:ilvl w:val="1"/>
          <w:numId w:val="1012"/>
        </w:numPr>
        <w:pStyle w:val="Compact"/>
      </w:pPr>
      <w:r>
        <w:rPr>
          <w:bCs/>
          <w:b/>
        </w:rPr>
        <w:t xml:space="preserve">Emission Factor (Road freight):</w:t>
      </w:r>
      <w:r>
        <w:t xml:space="preserve"> </w:t>
      </w:r>
      <w:r>
        <w:t xml:space="preserve">Approx. 0.08 kg CO2e/tkm.</w:t>
      </w:r>
    </w:p>
    <w:p>
      <w:pPr>
        <w:numPr>
          <w:ilvl w:val="1"/>
          <w:numId w:val="1012"/>
        </w:numPr>
        <w:pStyle w:val="Compact"/>
      </w:pPr>
      <w:r>
        <w:rPr>
          <w:bCs/>
          <w:b/>
        </w:rPr>
        <w:t xml:space="preserve">Upstream Transport Emissions:</w:t>
      </w:r>
      <w:r>
        <w:t xml:space="preserve"> </w:t>
      </w:r>
      <w:r>
        <w:t xml:space="preserve">(1.0 kg / 1000 kg/t) × 1500 km × 0.08 kg CO2e/tkm =</w:t>
      </w:r>
      <w:r>
        <w:t xml:space="preserve"> </w:t>
      </w:r>
      <w:r>
        <w:t xml:space="preserve">0.12 kg CO2e</w:t>
      </w:r>
    </w:p>
    <w:bookmarkEnd w:id="32"/>
    <w:bookmarkStart w:id="33" w:name="downstream-emissions-categories-9-15"/>
    <w:p>
      <w:pPr>
        <w:pStyle w:val="Heading4"/>
      </w:pPr>
      <w:r>
        <w:t xml:space="preserve">4.3.2. Downstream Emissions (Categories 9-15)</w:t>
      </w:r>
    </w:p>
    <w:p>
      <w:pPr>
        <w:numPr>
          <w:ilvl w:val="0"/>
          <w:numId w:val="1013"/>
        </w:numPr>
        <w:pStyle w:val="Compact"/>
      </w:pPr>
      <w:r>
        <w:rPr>
          <w:bCs/>
          <w:b/>
        </w:rPr>
        <w:t xml:space="preserve">Downstream Transportation &amp; Distribution (Last-Mile Delivery):</w:t>
      </w:r>
    </w:p>
    <w:p>
      <w:pPr>
        <w:numPr>
          <w:ilvl w:val="1"/>
          <w:numId w:val="1014"/>
        </w:numPr>
        <w:pStyle w:val="Compact"/>
      </w:pPr>
      <w:r>
        <w:rPr>
          <w:bCs/>
          <w:b/>
        </w:rPr>
        <w:t xml:space="preserve">Delivery Channel:</w:t>
      </w:r>
      <w:r>
        <w:t xml:space="preserve"> </w:t>
      </w:r>
      <w:r>
        <w:t xml:space="preserve">Delivery Type</w:t>
      </w:r>
      <w:r>
        <w:t xml:space="preserve"> </w:t>
      </w:r>
      <w:r>
        <w:t xml:space="preserve">(e.g., Van/Light Commercial Vehicle)</w:t>
      </w:r>
    </w:p>
    <w:p>
      <w:pPr>
        <w:numPr>
          <w:ilvl w:val="1"/>
          <w:numId w:val="1014"/>
        </w:numPr>
        <w:pStyle w:val="Compact"/>
      </w:pPr>
      <w:r>
        <w:rPr>
          <w:bCs/>
          <w:b/>
        </w:rPr>
        <w:t xml:space="preserve">Assumed Last-Mile Emission Factor (allocated per unit):</w:t>
      </w:r>
      <w:r>
        <w:t xml:space="preserve"> </w:t>
      </w:r>
      <w:r>
        <w:t xml:space="preserve">Approx. 0.1 kg CO2e/unit (based on typical van emissions over an allocated distance).</w:t>
      </w:r>
    </w:p>
    <w:p>
      <w:pPr>
        <w:numPr>
          <w:ilvl w:val="1"/>
          <w:numId w:val="1014"/>
        </w:numPr>
        <w:pStyle w:val="Compact"/>
      </w:pPr>
      <w:r>
        <w:rPr>
          <w:bCs/>
          <w:b/>
        </w:rPr>
        <w:t xml:space="preserve">Last-Mile Delivery Emissions:</w:t>
      </w:r>
      <w:r>
        <w:t xml:space="preserve"> </w:t>
      </w:r>
      <w:r>
        <w:t xml:space="preserve">0.10 kg CO2e</w:t>
      </w:r>
    </w:p>
    <w:p>
      <w:pPr>
        <w:numPr>
          <w:ilvl w:val="0"/>
          <w:numId w:val="1013"/>
        </w:numPr>
        <w:pStyle w:val="Compact"/>
      </w:pPr>
      <w:r>
        <w:rPr>
          <w:bCs/>
          <w:b/>
        </w:rPr>
        <w:t xml:space="preserve">Use of Sold Products:</w:t>
      </w:r>
    </w:p>
    <w:p>
      <w:pPr>
        <w:numPr>
          <w:ilvl w:val="1"/>
          <w:numId w:val="1015"/>
        </w:numPr>
        <w:pStyle w:val="Compact"/>
      </w:pPr>
      <w:r>
        <w:rPr>
          <w:bCs/>
          <w:b/>
        </w:rPr>
        <w:t xml:space="preserve">Product Lifespan:</w:t>
      </w:r>
      <w:r>
        <w:t xml:space="preserve"> </w:t>
      </w:r>
      <w:r>
        <w:t xml:space="preserve">hqgfnpnhxq</w:t>
      </w:r>
      <w:r>
        <w:t xml:space="preserve"> </w:t>
      </w:r>
      <w:r>
        <w:t xml:space="preserve">(e.g., 5 years)</w:t>
      </w:r>
    </w:p>
    <w:p>
      <w:pPr>
        <w:numPr>
          <w:ilvl w:val="1"/>
          <w:numId w:val="1015"/>
        </w:numPr>
        <w:pStyle w:val="Compact"/>
      </w:pPr>
      <w:r>
        <w:rPr>
          <w:bCs/>
          <w:b/>
        </w:rPr>
        <w:t xml:space="preserve">Energy Consumption in Use:</w:t>
      </w:r>
      <w:r>
        <w:t xml:space="preserve"> </w:t>
      </w:r>
      <w:r>
        <w:t xml:space="preserve">vliuqjxewk</w:t>
      </w:r>
      <w:r>
        <w:t xml:space="preserve"> </w:t>
      </w:r>
      <w:r>
        <w:t xml:space="preserve">(e.g., 10 kWh/year)</w:t>
      </w:r>
    </w:p>
    <w:p>
      <w:pPr>
        <w:numPr>
          <w:ilvl w:val="1"/>
          <w:numId w:val="1015"/>
        </w:numPr>
        <w:pStyle w:val="Compact"/>
      </w:pPr>
      <w:r>
        <w:rPr>
          <w:bCs/>
          <w:b/>
        </w:rPr>
        <w:t xml:space="preserve">Total Energy in Use:</w:t>
      </w:r>
      <w:r>
        <w:t xml:space="preserve"> </w:t>
      </w:r>
      <w:r>
        <w:t xml:space="preserve">10 kWh/year × 5 years = 50 kWh</w:t>
      </w:r>
    </w:p>
    <w:p>
      <w:pPr>
        <w:numPr>
          <w:ilvl w:val="1"/>
          <w:numId w:val="1015"/>
        </w:numPr>
        <w:pStyle w:val="Compact"/>
      </w:pPr>
      <w:r>
        <w:rPr>
          <w:bCs/>
          <w:b/>
        </w:rPr>
        <w:t xml:space="preserve">Emission Factor (Average User Grid, e.g., Global Average):</w:t>
      </w:r>
      <w:r>
        <w:t xml:space="preserve"> </w:t>
      </w:r>
      <w:r>
        <w:t xml:space="preserve">Approx. 0.4 kg CO2e/kWh (illustrative for user\'s electricity mix)</w:t>
      </w:r>
    </w:p>
    <w:p>
      <w:pPr>
        <w:numPr>
          <w:ilvl w:val="1"/>
          <w:numId w:val="1015"/>
        </w:numPr>
        <w:pStyle w:val="Compact"/>
      </w:pPr>
      <w:r>
        <w:rPr>
          <w:bCs/>
          <w:b/>
        </w:rPr>
        <w:t xml:space="preserve">Use Phase Emissions:</w:t>
      </w:r>
      <w:r>
        <w:t xml:space="preserve"> </w:t>
      </w:r>
      <w:r>
        <w:t xml:space="preserve">50 kWh × 0.4 kg CO2e/kWh =</w:t>
      </w:r>
      <w:r>
        <w:t xml:space="preserve"> </w:t>
      </w:r>
      <w:r>
        <w:t xml:space="preserve">20.00 kg CO2e</w:t>
      </w:r>
    </w:p>
    <w:p>
      <w:pPr>
        <w:numPr>
          <w:ilvl w:val="0"/>
          <w:numId w:val="1013"/>
        </w:numPr>
        <w:pStyle w:val="Compact"/>
      </w:pPr>
      <w:r>
        <w:rPr>
          <w:bCs/>
          <w:b/>
        </w:rPr>
        <w:t xml:space="preserve">End-of-Life Treatment of Sold Products:</w:t>
      </w:r>
    </w:p>
    <w:p>
      <w:pPr>
        <w:numPr>
          <w:ilvl w:val="1"/>
          <w:numId w:val="1016"/>
        </w:numPr>
        <w:pStyle w:val="Compact"/>
      </w:pPr>
      <w:r>
        <w:rPr>
          <w:bCs/>
          <w:b/>
        </w:rPr>
        <w:t xml:space="preserve">Recyclability Percentage:</w:t>
      </w:r>
      <w:r>
        <w:t xml:space="preserve"> </w:t>
      </w:r>
      <w:r>
        <w:t xml:space="preserve">dvtvqgmgjd</w:t>
      </w:r>
      <w:r>
        <w:t xml:space="preserve"> </w:t>
      </w:r>
      <w:r>
        <w:t xml:space="preserve">(e.g., 70%)</w:t>
      </w:r>
    </w:p>
    <w:p>
      <w:pPr>
        <w:numPr>
          <w:ilvl w:val="1"/>
          <w:numId w:val="1016"/>
        </w:numPr>
        <w:pStyle w:val="Compact"/>
      </w:pPr>
      <w:r>
        <w:rPr>
          <w:bCs/>
          <w:b/>
        </w:rPr>
        <w:t xml:space="preserve">Circular/Take-back Programs:</w:t>
      </w:r>
      <w:r>
        <w:t xml:space="preserve"> </w:t>
      </w:r>
      <w:r>
        <w:t xml:space="preserve">nlzejvsywn</w:t>
      </w:r>
      <w:r>
        <w:t xml:space="preserve"> </w:t>
      </w:r>
      <w:r>
        <w:t xml:space="preserve">(Yes, assumed to facilitate recycling).</w:t>
      </w:r>
    </w:p>
    <w:p>
      <w:pPr>
        <w:numPr>
          <w:ilvl w:val="1"/>
          <w:numId w:val="1016"/>
        </w:numPr>
        <w:pStyle w:val="Compact"/>
      </w:pPr>
      <w:r>
        <w:rPr>
          <w:bCs/>
          <w:b/>
        </w:rPr>
        <w:t xml:space="preserve">Non-recycled portion:</w:t>
      </w:r>
      <w:r>
        <w:t xml:space="preserve"> </w:t>
      </w:r>
      <w:r>
        <w:t xml:space="preserve">(1 - 0.70) = 0.30</w:t>
      </w:r>
    </w:p>
    <w:p>
      <w:pPr>
        <w:numPr>
          <w:ilvl w:val="1"/>
          <w:numId w:val="1016"/>
        </w:numPr>
        <w:pStyle w:val="Compact"/>
      </w:pPr>
      <w:r>
        <w:rPr>
          <w:bCs/>
          <w:b/>
        </w:rPr>
        <w:t xml:space="preserve">Assumed Product Weight (excluding packaging, approx. from BOM):</w:t>
      </w:r>
      <w:r>
        <w:t xml:space="preserve"> </w:t>
      </w:r>
      <w:r>
        <w:t xml:space="preserve">0.6 kg</w:t>
      </w:r>
    </w:p>
    <w:p>
      <w:pPr>
        <w:numPr>
          <w:ilvl w:val="1"/>
          <w:numId w:val="1016"/>
        </w:numPr>
        <w:pStyle w:val="Compact"/>
      </w:pPr>
      <w:r>
        <w:rPr>
          <w:bCs/>
          <w:b/>
        </w:rPr>
        <w:t xml:space="preserve">Waste to Landfill/Incineration:</w:t>
      </w:r>
      <w:r>
        <w:t xml:space="preserve"> </w:t>
      </w:r>
      <w:r>
        <w:t xml:space="preserve">0.6 kg × 0.30 = 0.18 kg</w:t>
      </w:r>
    </w:p>
    <w:p>
      <w:pPr>
        <w:numPr>
          <w:ilvl w:val="1"/>
          <w:numId w:val="1016"/>
        </w:numPr>
        <w:pStyle w:val="Compact"/>
      </w:pPr>
      <w:r>
        <w:rPr>
          <w:bCs/>
          <w:b/>
        </w:rPr>
        <w:t xml:space="preserve">Emission Factor (Mixed Waste to Landfill/Incineration):</w:t>
      </w:r>
      <w:r>
        <w:t xml:space="preserve"> </w:t>
      </w:r>
      <w:r>
        <w:t xml:space="preserve">Approx. 1.0 kg CO2e/kg (simplified, acknowledging complexities of waste treatment emissions and potential energy recovery credits).</w:t>
      </w:r>
    </w:p>
    <w:p>
      <w:pPr>
        <w:numPr>
          <w:ilvl w:val="1"/>
          <w:numId w:val="1016"/>
        </w:numPr>
        <w:pStyle w:val="Compact"/>
      </w:pPr>
      <w:r>
        <w:rPr>
          <w:bCs/>
          <w:b/>
        </w:rPr>
        <w:t xml:space="preserve">End-of-Life Emissions:</w:t>
      </w:r>
      <w:r>
        <w:t xml:space="preserve"> </w:t>
      </w:r>
      <w:r>
        <w:t xml:space="preserve">0.18 kg × 1.0 kg CO2e/kg =</w:t>
      </w:r>
      <w:r>
        <w:t xml:space="preserve"> </w:t>
      </w:r>
      <w:r>
        <w:t xml:space="preserve">0.18 kg CO2e</w:t>
      </w:r>
    </w:p>
    <w:p>
      <w:pPr>
        <w:numPr>
          <w:ilvl w:val="1"/>
          <w:numId w:val="1016"/>
        </w:numPr>
        <w:pStyle w:val="Compact"/>
      </w:pPr>
      <w:r>
        <w:rPr>
          <w:iCs/>
          <w:i/>
        </w:rPr>
        <w:t xml:space="preserve">Note:</w:t>
      </w:r>
      <w:r>
        <w:t xml:space="preserve"> </w:t>
      </w:r>
      <w:r>
        <w:t xml:space="preserve">The 70% recyclability is assumed to avoid emissions from virgin material production for that portion, which represents a significant benefit not fully quantified as a \'negative\' emission in this simplified EoL calculation but acknowledged as an important circular economy impact.</w:t>
      </w:r>
    </w:p>
    <w:bookmarkEnd w:id="33"/>
    <w:bookmarkEnd w:id="34"/>
    <w:bookmarkStart w:id="35" w:name="X7ef73fe3d39a8d84fae696b42f814aa0d860ec0"/>
    <w:p>
      <w:pPr>
        <w:pStyle w:val="Heading3"/>
      </w:pPr>
      <w:r>
        <w:t xml:space="preserve">4.4. 2026 LSR Update (Land Sector and Removals Standard)</w:t>
      </w:r>
    </w:p>
    <w:p>
      <w:pPr>
        <w:pStyle w:val="FirstParagraph"/>
      </w:pPr>
      <w:r>
        <w:t xml:space="preserve">The GHG Protocol\'s Land Sector and Removals (LSR) Standard, effective January 1, 2027, is designed to account for land management and land use change emissions, as well as CO2 removals and biogenic products. While a detailed land-use assessment for each raw material in</w:t>
      </w:r>
      <w:r>
        <w:t xml:space="preserve"> </w:t>
      </w:r>
      <w:r>
        <w:t xml:space="preserve">slxtjppqho</w:t>
      </w:r>
      <w:r>
        <w:t xml:space="preserve"> </w:t>
      </w:r>
      <w:r>
        <w:t xml:space="preserve">is beyond the scope of this general PCF,</w:t>
      </w:r>
      <w:r>
        <w:t xml:space="preserve"> </w:t>
      </w:r>
      <w:r>
        <w:t xml:space="preserve">kvrijmxrtl</w:t>
      </w:r>
      <w:r>
        <w:t xml:space="preserve"> </w:t>
      </w:r>
      <w:r>
        <w:t xml:space="preserve">should consider implementing the LSR Standard for primary materials with significant agricultural or forestry origins in future, more granular analyses, as its accompanying guidance is expected in Q2 2026.</w:t>
      </w:r>
    </w:p>
    <w:bookmarkEnd w:id="35"/>
    <w:bookmarkStart w:id="36" w:name="X9f6d4265ed667f72b83fa38c2b46361cf5cf669"/>
    <w:p>
      <w:pPr>
        <w:pStyle w:val="Heading3"/>
      </w:pPr>
      <w:r>
        <w:t xml:space="preserve">4.5. Summary of Product Carbon Footprint for slxtjppqho</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2.81</w:t>
            </w:r>
          </w:p>
        </w:tc>
        <w:tc>
          <w:tcPr/>
          <w:p>
            <w:pPr>
              <w:pStyle w:val="Compact"/>
              <w:jc w:val="left"/>
            </w:pPr>
            <w:r>
              <w:t xml:space="preserve">10.14%</w:t>
            </w:r>
          </w:p>
        </w:tc>
      </w:tr>
      <w:tr>
        <w:tc>
          <w:tcPr/>
          <w:p>
            <w:pPr>
              <w:pStyle w:val="Compact"/>
              <w:jc w:val="left"/>
            </w:pPr>
            <w:r>
              <w:t xml:space="preserve">Manufacturing &amp; Assembly (Purchased Electricity)</w:t>
            </w:r>
          </w:p>
        </w:tc>
        <w:tc>
          <w:tcPr/>
          <w:p>
            <w:pPr>
              <w:pStyle w:val="Compact"/>
              <w:jc w:val="left"/>
            </w:pPr>
            <w:r>
              <w:t xml:space="preserve">Scope 2</w:t>
            </w:r>
          </w:p>
        </w:tc>
        <w:tc>
          <w:tcPr/>
          <w:p>
            <w:pPr>
              <w:pStyle w:val="Compact"/>
              <w:jc w:val="left"/>
            </w:pPr>
            <w:r>
              <w:t xml:space="preserve">4.50</w:t>
            </w:r>
          </w:p>
        </w:tc>
        <w:tc>
          <w:tcPr/>
          <w:p>
            <w:pPr>
              <w:pStyle w:val="Compact"/>
              <w:jc w:val="left"/>
            </w:pPr>
            <w:r>
              <w:t xml:space="preserve">16.24%</w:t>
            </w:r>
          </w:p>
        </w:tc>
      </w:tr>
      <w:tr>
        <w:tc>
          <w:tcPr/>
          <w:p>
            <w:pPr>
              <w:pStyle w:val="Compact"/>
              <w:jc w:val="left"/>
            </w:pPr>
            <w:r>
              <w:t xml:space="preserve">Upstream Transportation &amp; Distribution</w:t>
            </w:r>
          </w:p>
        </w:tc>
        <w:tc>
          <w:tcPr/>
          <w:p>
            <w:pPr>
              <w:pStyle w:val="Compact"/>
              <w:jc w:val="left"/>
            </w:pPr>
            <w:r>
              <w:t xml:space="preserve">Scope 3 (Upstream)</w:t>
            </w:r>
          </w:p>
        </w:tc>
        <w:tc>
          <w:tcPr/>
          <w:p>
            <w:pPr>
              <w:pStyle w:val="Compact"/>
              <w:jc w:val="left"/>
            </w:pPr>
            <w:r>
              <w:t xml:space="preserve">0.12</w:t>
            </w:r>
          </w:p>
        </w:tc>
        <w:tc>
          <w:tcPr/>
          <w:p>
            <w:pPr>
              <w:pStyle w:val="Compact"/>
              <w:jc w:val="left"/>
            </w:pPr>
            <w:r>
              <w:t xml:space="preserve">0.43%</w:t>
            </w:r>
          </w:p>
        </w:tc>
      </w:tr>
      <w:tr>
        <w:tc>
          <w:tcPr/>
          <w:p>
            <w:pPr>
              <w:pStyle w:val="Compact"/>
              <w:jc w:val="left"/>
            </w:pPr>
            <w:r>
              <w:t xml:space="preserve">Downstream Transportation &amp; Distribution (Last-Mile)</w:t>
            </w:r>
          </w:p>
        </w:tc>
        <w:tc>
          <w:tcPr/>
          <w:p>
            <w:pPr>
              <w:pStyle w:val="Compact"/>
              <w:jc w:val="left"/>
            </w:pPr>
            <w:r>
              <w:t xml:space="preserve">Scope 3 (Downstream)</w:t>
            </w:r>
          </w:p>
        </w:tc>
        <w:tc>
          <w:tcPr/>
          <w:p>
            <w:pPr>
              <w:pStyle w:val="Compact"/>
              <w:jc w:val="left"/>
            </w:pPr>
            <w:r>
              <w:t xml:space="preserve">0.10</w:t>
            </w:r>
          </w:p>
        </w:tc>
        <w:tc>
          <w:tcPr/>
          <w:p>
            <w:pPr>
              <w:pStyle w:val="Compact"/>
              <w:jc w:val="left"/>
            </w:pPr>
            <w:r>
              <w:t xml:space="preserve">0.36%</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20.00</w:t>
            </w:r>
          </w:p>
        </w:tc>
        <w:tc>
          <w:tcPr/>
          <w:p>
            <w:pPr>
              <w:pStyle w:val="Compact"/>
              <w:jc w:val="left"/>
            </w:pPr>
            <w:r>
              <w:t xml:space="preserve">72.17%</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0.18</w:t>
            </w:r>
          </w:p>
        </w:tc>
        <w:tc>
          <w:tcPr/>
          <w:p>
            <w:pPr>
              <w:pStyle w:val="Compact"/>
              <w:jc w:val="left"/>
            </w:pPr>
            <w:r>
              <w:t xml:space="preserve">0.65%</w:t>
            </w:r>
          </w:p>
        </w:tc>
      </w:tr>
      <w:tr>
        <w:tc>
          <w:tcPr/>
          <w:p>
            <w:pPr>
              <w:pStyle w:val="Compact"/>
              <w:jc w:val="left"/>
            </w:pPr>
            <w:r>
              <w:t xml:space="preserve">Total Product Carbon Footprint</w:t>
            </w:r>
          </w:p>
        </w:tc>
        <w:tc>
          <w:tcPr/>
          <w:p>
            <w:pPr>
              <w:pStyle w:val="Compact"/>
            </w:pPr>
          </w:p>
        </w:tc>
        <w:tc>
          <w:tcPr/>
          <w:p>
            <w:pPr>
              <w:pStyle w:val="Compact"/>
              <w:jc w:val="left"/>
            </w:pPr>
            <w:r>
              <w:t xml:space="preserve">27.71</w:t>
            </w:r>
          </w:p>
        </w:tc>
        <w:tc>
          <w:tcPr/>
          <w:p>
            <w:pPr>
              <w:pStyle w:val="Compact"/>
              <w:jc w:val="left"/>
            </w:pPr>
            <w:r>
              <w:t xml:space="preserve">100.00%</w:t>
            </w:r>
          </w:p>
        </w:tc>
      </w:tr>
    </w:tbl>
    <w:p>
      <w:r>
        <w:pict>
          <v:rect style="width:0;height:1.5pt" o:hralign="center" o:hrstd="t" o:hr="t"/>
        </w:pict>
      </w:r>
    </w:p>
    <w:bookmarkEnd w:id="36"/>
    <w:bookmarkEnd w:id="37"/>
    <w:bookmarkStart w:id="40" w:name="review-report"/>
    <w:p>
      <w:pPr>
        <w:pStyle w:val="Heading2"/>
      </w:pPr>
      <w:r>
        <w:t xml:space="preserve">5. Review &amp; Report</w:t>
      </w:r>
    </w:p>
    <w:p>
      <w:pPr>
        <w:pStyle w:val="FirstParagraph"/>
      </w:pPr>
      <w:r>
        <w:t xml:space="preserve">This PCF analysis highlights key hotspots and provides a reliable estimate based on the provided parameters and industry-standard emission factors.</w:t>
      </w:r>
    </w:p>
    <w:bookmarkStart w:id="38" w:name="hotspots-identification"/>
    <w:p>
      <w:pPr>
        <w:pStyle w:val="Heading3"/>
      </w:pPr>
      <w:r>
        <w:t xml:space="preserve">5.1. Hotspots Identification</w:t>
      </w:r>
    </w:p>
    <w:p>
      <w:pPr>
        <w:pStyle w:val="FirstParagraph"/>
      </w:pPr>
      <w:r>
        <w:t xml:space="preserve">The primary hotspot for the</w:t>
      </w:r>
      <w:r>
        <w:t xml:space="preserve"> </w:t>
      </w:r>
      <w:r>
        <w:t xml:space="preserve">slxtjppqho</w:t>
      </w:r>
      <w:r>
        <w:t xml:space="preserve"> </w:t>
      </w:r>
      <w:r>
        <w:t xml:space="preserve">product is clearly the</w:t>
      </w:r>
      <w:r>
        <w:t xml:space="preserve"> </w:t>
      </w:r>
      <w:r>
        <w:t xml:space="preserve">Use Phase</w:t>
      </w:r>
      <w:r>
        <w:t xml:space="preserve">, accounting for approximately 72.17% of the total PCF. This is driven by the</w:t>
      </w:r>
      <w:r>
        <w:t xml:space="preserve"> </w:t>
      </w:r>
      <w:r>
        <w:t xml:space="preserve">Product Lifespan</w:t>
      </w:r>
      <w:r>
        <w:t xml:space="preserve"> </w:t>
      </w:r>
      <w:r>
        <w:t xml:space="preserve">(</w:t>
      </w:r>
      <w:r>
        <w:t xml:space="preserve">hqgfnpnhxq</w:t>
      </w:r>
      <w:r>
        <w:t xml:space="preserve"> </w:t>
      </w:r>
      <w:r>
        <w:t xml:space="preserve">years) and continuous</w:t>
      </w:r>
      <w:r>
        <w:t xml:space="preserve"> </w:t>
      </w:r>
      <w:r>
        <w:t xml:space="preserve">Energy Consumption in Use</w:t>
      </w:r>
      <w:r>
        <w:t xml:space="preserve"> </w:t>
      </w:r>
      <w:r>
        <w:t xml:space="preserve">(</w:t>
      </w:r>
      <w:r>
        <w:t xml:space="preserve">vliuqjxewk</w:t>
      </w:r>
      <w:r>
        <w:t xml:space="preserve"> </w:t>
      </w:r>
      <w:r>
        <w:t xml:space="preserve">kWh/year).</w:t>
      </w:r>
    </w:p>
    <w:p>
      <w:pPr>
        <w:pStyle w:val="BodyText"/>
      </w:pPr>
      <w:r>
        <w:t xml:space="preserve">Other significant contributors include:</w:t>
      </w:r>
    </w:p>
    <w:p>
      <w:pPr>
        <w:numPr>
          <w:ilvl w:val="0"/>
          <w:numId w:val="1017"/>
        </w:numPr>
        <w:pStyle w:val="Compact"/>
      </w:pPr>
      <w:r>
        <w:rPr>
          <w:bCs/>
          <w:b/>
        </w:rPr>
        <w:t xml:space="preserve">Manufacturing &amp; Assembly (Scope 2):</w:t>
      </w:r>
      <w:r>
        <w:t xml:space="preserve"> </w:t>
      </w:r>
      <w:r>
        <w:t xml:space="preserve">16.24%, largely due to the electricity mix in</w:t>
      </w:r>
      <w:r>
        <w:t xml:space="preserve"> </w:t>
      </w:r>
      <w:r>
        <w:t xml:space="preserve">China</w:t>
      </w:r>
      <w:r>
        <w:t xml:space="preserve">.</w:t>
      </w:r>
    </w:p>
    <w:p>
      <w:pPr>
        <w:numPr>
          <w:ilvl w:val="0"/>
          <w:numId w:val="1017"/>
        </w:numPr>
        <w:pStyle w:val="Compact"/>
      </w:pPr>
      <w:r>
        <w:rPr>
          <w:bCs/>
          <w:b/>
        </w:rPr>
        <w:t xml:space="preserve">Material Acquisition (Scope 3 Upstream):</w:t>
      </w:r>
      <w:r>
        <w:t xml:space="preserve"> </w:t>
      </w:r>
      <w:r>
        <w:t xml:space="preserve">10.14%, influenced by the production of plastics, electronics, and metals.</w:t>
      </w:r>
    </w:p>
    <w:bookmarkEnd w:id="38"/>
    <w:bookmarkStart w:id="39" w:name="reliability-and-data-gaps"/>
    <w:p>
      <w:pPr>
        <w:pStyle w:val="Heading3"/>
      </w:pPr>
      <w:r>
        <w:t xml:space="preserve">5.2. Reliability and Data Gaps</w:t>
      </w:r>
    </w:p>
    <w:p>
      <w:pPr>
        <w:pStyle w:val="FirstParagraph"/>
      </w:pPr>
      <w:r>
        <w:t xml:space="preserve">The reliability of this PCF is high for the stages where specific data were provided (e.g., BOM for materials, energy intensity, lifespan, recyclability). Where specific emission factors were not provided (e.g., for general transport modes, or waste treatment processes), industry averages from recognized sources like Ecoinvent and DEFRA were used. To further enhance accuracy,</w:t>
      </w:r>
      <w:r>
        <w:t xml:space="preserve"> </w:t>
      </w:r>
      <w:r>
        <w:t xml:space="preserve">kvrijmxrtl</w:t>
      </w:r>
      <w:r>
        <w:t xml:space="preserve"> </w:t>
      </w:r>
      <w:r>
        <w:t xml:space="preserve">should prioritize collecting more primary data for:</w:t>
      </w:r>
    </w:p>
    <w:p>
      <w:pPr>
        <w:numPr>
          <w:ilvl w:val="0"/>
          <w:numId w:val="1018"/>
        </w:numPr>
        <w:pStyle w:val="Compact"/>
      </w:pPr>
      <w:r>
        <w:t xml:space="preserve">Actual emission factors for specific raw material suppliers.</w:t>
      </w:r>
    </w:p>
    <w:p>
      <w:pPr>
        <w:numPr>
          <w:ilvl w:val="0"/>
          <w:numId w:val="1018"/>
        </w:numPr>
        <w:pStyle w:val="Compact"/>
      </w:pPr>
      <w:r>
        <w:t xml:space="preserve">Detailed energy mix of manufacturing plants beyond renewable energy percentage.</w:t>
      </w:r>
    </w:p>
    <w:p>
      <w:pPr>
        <w:numPr>
          <w:ilvl w:val="0"/>
          <w:numId w:val="1018"/>
        </w:numPr>
        <w:pStyle w:val="Compact"/>
      </w:pPr>
      <w:r>
        <w:t xml:space="preserve">More granular data for specific transport routes and vehicle types.</w:t>
      </w:r>
    </w:p>
    <w:p>
      <w:pPr>
        <w:numPr>
          <w:ilvl w:val="0"/>
          <w:numId w:val="1018"/>
        </w:numPr>
        <w:pStyle w:val="Compact"/>
      </w:pPr>
      <w:r>
        <w:t xml:space="preserve">Specific energy credits or burdens associated with the chosen End-of-Life treatment options.</w:t>
      </w:r>
    </w:p>
    <w:p>
      <w:r>
        <w:pict>
          <v:rect style="width:0;height:1.5pt" o:hralign="center" o:hrstd="t" o:hr="t"/>
        </w:pict>
      </w:r>
    </w:p>
    <w:bookmarkEnd w:id="39"/>
    <w:bookmarkEnd w:id="40"/>
    <w:bookmarkStart w:id="42" w:name="conclusion"/>
    <w:p>
      <w:pPr>
        <w:pStyle w:val="Heading2"/>
      </w:pPr>
      <w:r>
        <w:t xml:space="preserve">Conclusion</w:t>
      </w:r>
    </w:p>
    <w:p>
      <w:pPr>
        <w:pStyle w:val="FirstParagraph"/>
      </w:pPr>
      <w:r>
        <w:t xml:space="preserve">The Product Carbon Footprint for</w:t>
      </w:r>
      <w:r>
        <w:t xml:space="preserve"> </w:t>
      </w:r>
      <w:r>
        <w:t xml:space="preserve">slxtjppqho</w:t>
      </w:r>
      <w:r>
        <w:t xml:space="preserve"> </w:t>
      </w:r>
      <w:r>
        <w:t xml:space="preserve">is estimated at</w:t>
      </w:r>
      <w:r>
        <w:t xml:space="preserve"> </w:t>
      </w:r>
      <w:r>
        <w:t xml:space="preserve">27.71 kg CO2e</w:t>
      </w:r>
      <w:r>
        <w:t xml:space="preserve"> </w:t>
      </w:r>
      <w:r>
        <w:t xml:space="preserve">per functional unit. The analysis clearly indicates that efforts to reduce the product\'s environmental impact should primarily focus on the use phase. Strategies such as improving energy efficiency of the product during its operation, extending its lifespan, and promoting renewable energy adoption by end-users will yield the most significant reductions. Furthermore, enhancing circularity through effective take-back programs and maximizing recyclability beyond the current</w:t>
      </w:r>
      <w:r>
        <w:t xml:space="preserve"> </w:t>
      </w:r>
      <w:r>
        <w:t xml:space="preserve">dvtvqgmgjd</w:t>
      </w:r>
      <w:r>
        <w:t xml:space="preserve">% will contribute to a lower overall footprint.</w:t>
      </w:r>
      <w:r>
        <w:t xml:space="preserve"> </w:t>
      </w:r>
      <w:r>
        <w:t xml:space="preserve">kvrijmxrtl</w:t>
      </w:r>
      <w:r>
        <w:t xml:space="preserve">, guided by Senior Sustainability Consultant</w:t>
      </w:r>
      <w:r>
        <w:t xml:space="preserve"> </w:t>
      </w:r>
      <w:r>
        <w:t xml:space="preserve">exferlgdxz</w:t>
      </w:r>
      <w:r>
        <w:t xml:space="preserve">, is well-positioned to leverage these insights for strategic decarbonization efforts in line with GHG Protocol standards and upcoming 2026 LSR requirements.</w:t>
      </w:r>
    </w:p>
    <w:p>
      <w:pPr>
        <w:pStyle w:val="BodyText"/>
      </w:pPr>
      <w:r>
        <w:t xml:space="preserve">Confidential - Internal Use Only | Page</w:t>
      </w:r>
      <w:r>
        <w:t xml:space="preserve"> </w:t>
      </w:r>
      <w:bookmarkStart w:id="41" w:name="pageNumber"/>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slxtjppqho</dc:title>
  <dc:creator/>
  <dc:description>Detailed Product Carbon Footprint (PCF) analysis report for product slxtjppqho by kvrijmxrtl, adhering to GHG Protocol standards and 2026 LSR updates.</dc:description>
  <dc:language>en</dc:language>
  <cp:keywords/>
  <dcterms:created xsi:type="dcterms:W3CDTF">2026-05-30T12:39:55Z</dcterms:created>
  <dcterms:modified xsi:type="dcterms:W3CDTF">2026-05-30T12:39:55Z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