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slvomqsdtg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slvomqsdtg</w:t>
      </w:r>
    </w:p>
    <w:p>
      <w:pPr>
        <w:pStyle w:val="BodyText"/>
      </w:pPr>
      <w:r>
        <w:rPr>
          <w:bCs/>
          <w:b/>
        </w:rPr>
        <w:t xml:space="preserve">Company:</w:t>
      </w:r>
      <w:r>
        <w:t xml:space="preserve"> </w:t>
      </w:r>
      <w:r>
        <w:t xml:space="preserve">pfzewzolwv</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hdinxkivsd</w:t>
      </w:r>
    </w:p>
    <w:p>
      <w:pPr>
        <w:pStyle w:val="BodyText"/>
      </w:pPr>
      <w:r>
        <w:t xml:space="preserve">Disclaimer: This report is generated based on available data and industry standards, including estimated emission factors and placeholder values for specific parameters. While efforts are made to ensure accuracy and adherence to methodological guidelines, the results are illustrative and should be further validated with primary, verified data where feasible.</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"slvomqsdtg", commissioned by pfzewzolwv, and conducted by Senior Sustainability Consultant hdinxkivsd. Adhering strictly to the Greenhouse Gas (GHG) Protocol, this analysis quantifies the total greenhouse gas emissions (in CO2e) associated with the product across its lifecycle, from raw material acquisition to end-of-life. Key parameters, including detailed Bill of Materials, transport logistics, manufacturing energy, use-phase consumption, and end-of-life scenarios, have been incorporated to provide a comprehensive and robust assessment. The methodology follows the five steps of PCF analysis, categorizing emissions into Scope 1, 2, and 3, and applying the principles of the 2026 Land Sector and Removals (LSR) Standard where applicable.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growing urgency of climate change necessitates a thorough understanding of environmental impacts across product lifecycles. A Product Carbon Footprint (PCF) serves as a critical tool for businesses like pfzewzolwv to identify emission hotspots, inform strategic decisions for decarbonization, and communicate transparently with stakeholders. This report details the PCF for \'slvomqsdtg\', providing a scientific basis for sustainability efforts.</w:t>
      </w:r>
    </w:p>
    <w:p>
      <w:pPr>
        <w:numPr>
          <w:ilvl w:val="0"/>
          <w:numId w:val="1001"/>
        </w:numPr>
        <w:pStyle w:val="Compact"/>
      </w:pPr>
      <w:r>
        <w:rPr>
          <w:bCs/>
          <w:b/>
        </w:rPr>
        <w:t xml:space="preserve">Product Name:</w:t>
      </w:r>
      <w:r>
        <w:t xml:space="preserve"> </w:t>
      </w:r>
      <w:r>
        <w:t xml:space="preserve">slvomqsdtg (Illustrative: Smart Home Device)</w:t>
      </w:r>
    </w:p>
    <w:p>
      <w:pPr>
        <w:numPr>
          <w:ilvl w:val="0"/>
          <w:numId w:val="1001"/>
        </w:numPr>
        <w:pStyle w:val="Compact"/>
      </w:pPr>
      <w:r>
        <w:rPr>
          <w:bCs/>
          <w:b/>
        </w:rPr>
        <w:t xml:space="preserve">Company Name:</w:t>
      </w:r>
      <w:r>
        <w:t xml:space="preserve"> </w:t>
      </w:r>
      <w:r>
        <w:t xml:space="preserve">pfzewzolwv</w:t>
      </w:r>
    </w:p>
    <w:p>
      <w:pPr>
        <w:numPr>
          <w:ilvl w:val="0"/>
          <w:numId w:val="1001"/>
        </w:numPr>
        <w:pStyle w:val="Compact"/>
      </w:pPr>
      <w:r>
        <w:rPr>
          <w:bCs/>
          <w:b/>
        </w:rPr>
        <w:t xml:space="preserve">Senior Sustainability Consultant:</w:t>
      </w:r>
      <w:r>
        <w:t xml:space="preserve"> </w:t>
      </w:r>
      <w:r>
        <w:t xml:space="preserve">hdinxkivsd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slvomqsdtg</w:t>
      </w:r>
    </w:p>
    <w:p>
      <w:pPr>
        <w:numPr>
          <w:ilvl w:val="0"/>
          <w:numId w:val="1001"/>
        </w:numPr>
        <w:pStyle w:val="Compact"/>
      </w:pPr>
      <w:r>
        <w:rPr>
          <w:bCs/>
          <w:b/>
        </w:rPr>
        <w:t xml:space="preserve">System Boundary:</w:t>
      </w:r>
      <w:r>
        <w:t xml:space="preserve"> </w:t>
      </w:r>
      <w:r>
        <w:t xml:space="preserve">Cradle-to-grave, with a primary focus on factory_gate for direct operations, extended to include use-phase and end-of-life for a holistic perspective.</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3"/>
    <w:bookmarkStart w:id="32" w:name="methodology"/>
    <w:p>
      <w:pPr>
        <w:pStyle w:val="Heading2"/>
      </w:pPr>
      <w:r>
        <w:t xml:space="preserve">2. Methodology</w:t>
      </w:r>
    </w:p>
    <w:p>
      <w:pPr>
        <w:pStyle w:val="FirstParagraph"/>
      </w:pPr>
      <w:r>
        <w:t xml:space="preserve">The PCF analysis was conducted following a systematic five-step methodology, fully compliant with the GHG Protocol standards.</w:t>
      </w:r>
    </w:p>
    <w:bookmarkStart w:id="24" w:name="define-scope"/>
    <w:p>
      <w:pPr>
        <w:pStyle w:val="Heading3"/>
      </w:pPr>
      <w:r>
        <w:t xml:space="preserve">2.1. Define Scope</w:t>
      </w:r>
    </w:p>
    <w:p>
      <w:pPr>
        <w:pStyle w:val="FirstParagraph"/>
      </w:pPr>
      <w:r>
        <w:t xml:space="preserve">This initial step established the boundaries and parameters for the assessment:</w:t>
      </w:r>
    </w:p>
    <w:p>
      <w:pPr>
        <w:numPr>
          <w:ilvl w:val="0"/>
          <w:numId w:val="1002"/>
        </w:numPr>
        <w:pStyle w:val="Compact"/>
      </w:pPr>
      <w:r>
        <w:rPr>
          <w:bCs/>
          <w:b/>
        </w:rPr>
        <w:t xml:space="preserve">Functional Unit:</w:t>
      </w:r>
      <w:r>
        <w:t xml:space="preserve"> </w:t>
      </w:r>
      <w:r>
        <w:t xml:space="preserve">The reference unit for all calculations is 1.0 unit of \'slvomqsdtg\'.</w:t>
      </w:r>
    </w:p>
    <w:p>
      <w:pPr>
        <w:numPr>
          <w:ilvl w:val="0"/>
          <w:numId w:val="1002"/>
        </w:numPr>
        <w:pStyle w:val="Compact"/>
      </w:pPr>
      <w:r>
        <w:rPr>
          <w:bCs/>
          <w:b/>
        </w:rPr>
        <w:t xml:space="preserve">System Boundary:</w:t>
      </w:r>
      <w:r>
        <w:t xml:space="preserve"> </w:t>
      </w:r>
      <w:r>
        <w:t xml:space="preserve">A \'cradle-to-grave\' approach has been adopted, encompassing all lifecycle stages from raw material extraction to end-of-life. While the stated parameter was \'factory_gate\', the request for detailed use-phase and end-of-life calculations necessitates an expansion to \'cradle-to-grave\' to capture the full environmental impact. This ensures a comprehensive view of the product\'s footprint. Emissions are categorized as Upstream (Scope 3), Core Operations (Scope 1 &amp; 2), and Downstream (Scope 3).</w:t>
      </w:r>
    </w:p>
    <w:p>
      <w:pPr>
        <w:numPr>
          <w:ilvl w:val="0"/>
          <w:numId w:val="1002"/>
        </w:numPr>
        <w:pStyle w:val="Compact"/>
      </w:pPr>
      <w:r>
        <w:rPr>
          <w:bCs/>
          <w:b/>
        </w:rPr>
        <w:t xml:space="preserve">Geographic Scope:</w:t>
      </w:r>
      <w:r>
        <w:t xml:space="preserve"> </w:t>
      </w:r>
      <w:r>
        <w:t xml:space="preserve">Production is finalized in China, with a supply chain focus on Europe for distribution.</w:t>
      </w:r>
    </w:p>
    <w:p>
      <w:pPr>
        <w:numPr>
          <w:ilvl w:val="0"/>
          <w:numId w:val="1002"/>
        </w:numPr>
        <w:pStyle w:val="Compact"/>
      </w:pPr>
      <w:r>
        <w:rPr>
          <w:bCs/>
          <w:b/>
        </w:rPr>
        <w:t xml:space="preserve">Allocation:</w:t>
      </w:r>
      <w:r>
        <w:t xml:space="preserve"> </w:t>
      </w:r>
      <w:r>
        <w:t xml:space="preserve">Where co-products or multi-functional processes exist, allocation principles are applied based on established GHG Protocol guidance, typically economic or mass-based where direct attribution is not possible. For recycled content, an avoided burden approach (substitution) is used to reflect circular economy impacts at End-of-Life.</w:t>
      </w:r>
    </w:p>
    <w:bookmarkEnd w:id="24"/>
    <w:bookmarkStart w:id="25" w:name="map-lifecycle-lci-inventory-stages"/>
    <w:p>
      <w:pPr>
        <w:pStyle w:val="Heading3"/>
      </w:pPr>
      <w:r>
        <w:t xml:space="preserve">2.2. Map Lifecycle (LCI Inventory Stages)</w:t>
      </w:r>
    </w:p>
    <w:p>
      <w:pPr>
        <w:pStyle w:val="FirstParagraph"/>
      </w:pPr>
      <w:r>
        <w:t xml:space="preserve">The lifecycle of \'slvomqsdtg\' is mapped into distinct stages, each contributing to the overall carbon footprint:</w:t>
      </w:r>
    </w:p>
    <w:p>
      <w:pPr>
        <w:numPr>
          <w:ilvl w:val="0"/>
          <w:numId w:val="1003"/>
        </w:numPr>
        <w:pStyle w:val="Compact"/>
      </w:pPr>
      <w:r>
        <w:rPr>
          <w:bCs/>
          <w:b/>
        </w:rPr>
        <w:t xml:space="preserve">Raw Material Acquisition &amp; Pre-processing (Upstream - Scope 3, Category 1):</w:t>
      </w:r>
      <w:r>
        <w:t xml:space="preserve"> </w:t>
      </w:r>
      <w:r>
        <w:t xml:space="preserve">Emissions from the extraction, production, and initial processing of all components listed in the Bill of Materials (BOM).</w:t>
      </w:r>
    </w:p>
    <w:p>
      <w:pPr>
        <w:numPr>
          <w:ilvl w:val="0"/>
          <w:numId w:val="1003"/>
        </w:numPr>
        <w:pStyle w:val="Compact"/>
      </w:pPr>
      <w:r>
        <w:rPr>
          <w:bCs/>
          <w:b/>
        </w:rPr>
        <w:t xml:space="preserve">Manufacturing (Core Operations - Scope 1 &amp; 2, Upstream - Scope 3, Category 1 &amp; 3):</w:t>
      </w:r>
      <w:r>
        <w:t xml:space="preserve"> </w:t>
      </w:r>
      <w:r>
        <w:t xml:space="preserve">Emissions from the production processes at the manufacturing facility. This includes direct emissions (Scope 1), purchased electricity (Scope 2), and upstream emissions related to fuel and energy activities (Scope 3, Category 3) and any outsourced manufacturing processes (Scope 3, Category 1).</w:t>
      </w:r>
    </w:p>
    <w:p>
      <w:pPr>
        <w:numPr>
          <w:ilvl w:val="0"/>
          <w:numId w:val="1003"/>
        </w:numPr>
        <w:pStyle w:val="Compact"/>
      </w:pPr>
      <w:r>
        <w:rPr>
          <w:bCs/>
          <w:b/>
        </w:rPr>
        <w:t xml:space="preserve">Transportation (Upstream &amp; Downstream - Scope 3, Categories 4 &amp; 9):</w:t>
      </w:r>
      <w:r>
        <w:t xml:space="preserve"> </w:t>
      </w:r>
      <w:r>
        <w:t xml:space="preserve">Emissions from the transportation of raw materials to the factory (upstream) and the distribution of the finished product to the customer (downstream), including last-mile delivery.</w:t>
      </w:r>
    </w:p>
    <w:p>
      <w:pPr>
        <w:numPr>
          <w:ilvl w:val="0"/>
          <w:numId w:val="1003"/>
        </w:numPr>
        <w:pStyle w:val="Compact"/>
      </w:pPr>
      <w:r>
        <w:rPr>
          <w:bCs/>
          <w:b/>
        </w:rPr>
        <w:t xml:space="preserve">Use Phase (Downstream - Scope 3, Category 11):</w:t>
      </w:r>
      <w:r>
        <w:t xml:space="preserve"> </w:t>
      </w:r>
      <w:r>
        <w:t xml:space="preserve">Emissions generated during the product\'s active lifespan by the end-user.</w:t>
      </w:r>
    </w:p>
    <w:p>
      <w:pPr>
        <w:numPr>
          <w:ilvl w:val="0"/>
          <w:numId w:val="1003"/>
        </w:numPr>
        <w:pStyle w:val="Compact"/>
      </w:pPr>
      <w:r>
        <w:rPr>
          <w:bCs/>
          <w:b/>
        </w:rPr>
        <w:t xml:space="preserve">End-of-Life (Downstream - Scope 3, Category 12):</w:t>
      </w:r>
      <w:r>
        <w:t xml:space="preserve"> </w:t>
      </w:r>
      <w:r>
        <w:t xml:space="preserve">Emissions or credits associated with the disposal, recycling, or recovery of the product at the end of its useful life.</w:t>
      </w:r>
    </w:p>
    <w:bookmarkEnd w:id="25"/>
    <w:bookmarkStart w:id="31" w:name="Xb57f50a89bf1f3f1837369be949d9d60d6c1272"/>
    <w:p>
      <w:pPr>
        <w:pStyle w:val="Heading3"/>
      </w:pPr>
      <w:r>
        <w:t xml:space="preserve">2.3. Collect Data (Primary/Secondary Data Points)</w:t>
      </w:r>
    </w:p>
    <w:p>
      <w:pPr>
        <w:pStyle w:val="FirstParagraph"/>
      </w:pPr>
      <w:r>
        <w:t xml:space="preserve">Data was collected from provided parameters and supplemented with industry-standard emission factors.</w:t>
      </w:r>
    </w:p>
    <w:bookmarkStart w:id="26" w:name="X234d9dd2bb7631aba4e2108342d606f524a3ff3"/>
    <w:p>
      <w:pPr>
        <w:pStyle w:val="Heading4"/>
      </w:pPr>
      <w:r>
        <w:t xml:space="preserve">2.3.1. Detailed Bill of Materials (BOM) - `itzgqkmt` (Illustrative Data)</w:t>
      </w:r>
    </w:p>
    <w:p>
      <w:pPr>
        <w:pStyle w:val="FirstParagraph"/>
      </w:pPr>
      <w:r>
        <w:t xml:space="preserve">The provided BOM (`itzgqkmt`) forms the basis for raw material impact calculations. The \'Total Carbon\' values from the BOM are directly summed for this stage.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 &amp; Paper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7"/>
          </w:tcPr>
          <w:p>
            <w:pPr>
              <w:pStyle w:val="Compact"/>
              <w:jc w:val="right"/>
            </w:pPr>
            <w:r>
              <w:rPr>
                <w:bCs/>
                <w:b/>
              </w:rPr>
              <w:t xml:space="preserve">Total Raw Materials Carbon Footprint:</w:t>
            </w:r>
          </w:p>
        </w:tc>
        <w:tc>
          <w:tcPr/>
          <w:p>
            <w:pPr>
              <w:pStyle w:val="Compact"/>
              <w:jc w:val="left"/>
            </w:pPr>
            <w:r>
              <w:rPr>
                <w:bCs/>
                <w:b/>
              </w:rPr>
              <w:t xml:space="preserve">5.20</w:t>
            </w:r>
          </w:p>
        </w:tc>
      </w:tr>
    </w:tbl>
    <w:p>
      <w:pPr>
        <w:pStyle w:val="BodyText"/>
      </w:pPr>
      <w:r>
        <w:rPr>
          <w:bCs/>
          <w:b/>
        </w:rPr>
        <w:t xml:space="preserve">Total Product Weight (for transport calculation):</w:t>
      </w:r>
      <w:r>
        <w:t xml:space="preserve"> </w:t>
      </w:r>
      <w:r>
        <w:t xml:space="preserve">Sum of Qty in BOM = 0.2 + 0.1 + 0.15 + 0.05 + 0.05 = 0.55 kg. This will be rounded to 0.6 kg for transport calculations to account for minor components not listed in detail.</w:t>
      </w:r>
    </w:p>
    <w:bookmarkEnd w:id="26"/>
    <w:bookmarkStart w:id="27" w:name="energy-inputs-manufacturing-phase"/>
    <w:p>
      <w:pPr>
        <w:pStyle w:val="Heading4"/>
      </w:pPr>
      <w:r>
        <w:t xml:space="preserve">2.3.2. Energy Inputs (Manufacturing Phase)</w:t>
      </w:r>
    </w:p>
    <w:p>
      <w:pPr>
        <w:numPr>
          <w:ilvl w:val="0"/>
          <w:numId w:val="1004"/>
        </w:numPr>
        <w:pStyle w:val="Compact"/>
      </w:pPr>
      <w:r>
        <w:rPr>
          <w:bCs/>
          <w:b/>
        </w:rPr>
        <w:t xml:space="preserve">Energy Intensity (kWh/unit) (`ydhmqsnjrs`):</w:t>
      </w:r>
      <w:r>
        <w:t xml:space="preserve"> </w:t>
      </w:r>
      <w:r>
        <w:t xml:space="preserve">10 kWh/unit</w:t>
      </w:r>
    </w:p>
    <w:p>
      <w:pPr>
        <w:numPr>
          <w:ilvl w:val="0"/>
          <w:numId w:val="1004"/>
        </w:numPr>
        <w:pStyle w:val="Compact"/>
      </w:pPr>
      <w:r>
        <w:rPr>
          <w:bCs/>
          <w:b/>
        </w:rPr>
        <w:t xml:space="preserve">Renewable Energy Usage (`dnpogxzmoh`):</w:t>
      </w:r>
      <w:r>
        <w:t xml:space="preserve"> </w:t>
      </w:r>
      <w:r>
        <w:t xml:space="preserve">70%</w:t>
      </w:r>
    </w:p>
    <w:p>
      <w:pPr>
        <w:numPr>
          <w:ilvl w:val="0"/>
          <w:numId w:val="1004"/>
        </w:numPr>
        <w:pStyle w:val="Compact"/>
      </w:pPr>
      <w:r>
        <w:rPr>
          <w:bCs/>
          <w:b/>
        </w:rPr>
        <w:t xml:space="preserve">Non-Renewable Energy:</w:t>
      </w:r>
      <w:r>
        <w:t xml:space="preserve"> </w:t>
      </w:r>
      <w:r>
        <w:t xml:space="preserve">30%</w:t>
      </w:r>
    </w:p>
    <w:p>
      <w:pPr>
        <w:numPr>
          <w:ilvl w:val="0"/>
          <w:numId w:val="1004"/>
        </w:numPr>
        <w:pStyle w:val="Compact"/>
      </w:pPr>
      <w:r>
        <w:rPr>
          <w:bCs/>
          <w:b/>
        </w:rPr>
        <w:t xml:space="preserve">Assumed China Grid Emission Factor:</w:t>
      </w:r>
      <w:r>
        <w:t xml:space="preserve"> </w:t>
      </w:r>
      <w:r>
        <w:t xml:space="preserve">0.6 kg CO2e/kWh (A conservative average based on recent data for China\'s electricity grid.)</w:t>
      </w:r>
    </w:p>
    <w:bookmarkEnd w:id="27"/>
    <w:bookmarkStart w:id="28" w:name="logistics-data-transportation"/>
    <w:p>
      <w:pPr>
        <w:pStyle w:val="Heading4"/>
      </w:pPr>
      <w:r>
        <w:t xml:space="preserve">2.3.3. Logistics Data (Transportation)</w:t>
      </w:r>
    </w:p>
    <w:p>
      <w:pPr>
        <w:numPr>
          <w:ilvl w:val="0"/>
          <w:numId w:val="1005"/>
        </w:numPr>
        <w:pStyle w:val="Compact"/>
      </w:pPr>
      <w:r>
        <w:rPr>
          <w:bCs/>
          <w:b/>
        </w:rPr>
        <w:t xml:space="preserve">Product Weight for Transport:</w:t>
      </w:r>
      <w:r>
        <w:t xml:space="preserve"> </w:t>
      </w:r>
      <w:r>
        <w:t xml:space="preserve">0.6 kg/unit (as derived from BOM and rounded up)</w:t>
      </w:r>
    </w:p>
    <w:p>
      <w:pPr>
        <w:numPr>
          <w:ilvl w:val="0"/>
          <w:numId w:val="1005"/>
        </w:numPr>
        <w:pStyle w:val="Compact"/>
      </w:pPr>
      <w:r>
        <w:rPr>
          <w:bCs/>
          <w:b/>
        </w:rPr>
        <w:t xml:space="preserve">Transport Mode (`Select Mode`):</w:t>
      </w:r>
      <w:r>
        <w:t xml:space="preserve"> </w:t>
      </w:r>
      <w:r>
        <w:t xml:space="preserve">Ocean Freight (Container Ship) and Road Freight (Heavy Goods Vehicle)</w:t>
      </w:r>
    </w:p>
    <w:p>
      <w:pPr>
        <w:numPr>
          <w:ilvl w:val="0"/>
          <w:numId w:val="1005"/>
        </w:numPr>
        <w:pStyle w:val="Compact"/>
      </w:pPr>
      <w:r>
        <w:rPr>
          <w:bCs/>
          <w:b/>
        </w:rPr>
        <w:t xml:space="preserve">Transport Distance (`urypdythok`):</w:t>
      </w:r>
      <w:r>
        <w:t xml:space="preserve"> </w:t>
      </w:r>
      <w:r>
        <w:t xml:space="preserve">10,000 km (Ocean Freight, China to Europe) + 500 km (Road Freight, Europe Distribution) + 100 km (Last-Mile Delivery)</w:t>
      </w:r>
    </w:p>
    <w:p>
      <w:pPr>
        <w:numPr>
          <w:ilvl w:val="0"/>
          <w:numId w:val="1005"/>
        </w:numPr>
        <w:pStyle w:val="Compact"/>
      </w:pPr>
      <w:r>
        <w:rPr>
          <w:bCs/>
          <w:b/>
        </w:rPr>
        <w:t xml:space="preserve">Last-Mile Delivery Channel (`Delivery Type`):</w:t>
      </w:r>
      <w:r>
        <w:t xml:space="preserve"> </w:t>
      </w:r>
      <w:r>
        <w:t xml:space="preserve">Road Van Delivery</w:t>
      </w:r>
    </w:p>
    <w:p>
      <w:pPr>
        <w:numPr>
          <w:ilvl w:val="0"/>
          <w:numId w:val="1005"/>
        </w:numPr>
        <w:pStyle w:val="Compact"/>
      </w:pPr>
      <w:r>
        <w:rPr>
          <w:bCs/>
          <w:b/>
        </w:rPr>
        <w:t xml:space="preserve">Assumed Ocean Freight Emission Factor:</w:t>
      </w:r>
      <w:r>
        <w:t xml:space="preserve"> </w:t>
      </w:r>
      <w:r>
        <w:t xml:space="preserve">0.016 kgCO2e/tonne-km (BEIS/DEFRA average for container ships)</w:t>
      </w:r>
    </w:p>
    <w:p>
      <w:pPr>
        <w:numPr>
          <w:ilvl w:val="0"/>
          <w:numId w:val="1005"/>
        </w:numPr>
        <w:pStyle w:val="Compact"/>
      </w:pPr>
      <w:r>
        <w:rPr>
          <w:bCs/>
          <w:b/>
        </w:rPr>
        <w:t xml:space="preserve">Assumed Road Freight (HGV) Emission Factor:</w:t>
      </w:r>
      <w:r>
        <w:t xml:space="preserve"> </w:t>
      </w:r>
      <w:r>
        <w:t xml:space="preserve">0.07 kgCO2e/tonne-km (Based on a synthesis of average laden HGV factors)</w:t>
      </w:r>
    </w:p>
    <w:p>
      <w:pPr>
        <w:numPr>
          <w:ilvl w:val="0"/>
          <w:numId w:val="1005"/>
        </w:numPr>
        <w:pStyle w:val="Compact"/>
      </w:pPr>
      <w:r>
        <w:rPr>
          <w:bCs/>
          <w:b/>
        </w:rPr>
        <w:t xml:space="preserve">Assumed Last-Mile Delivery (Road Van) Emission Factor:</w:t>
      </w:r>
      <w:r>
        <w:t xml:space="preserve"> </w:t>
      </w:r>
      <w:r>
        <w:t xml:space="preserve">0.25 kgCO2e/km (BEIS average for vans up to 3.5 tonnes).</w:t>
      </w:r>
    </w:p>
    <w:bookmarkEnd w:id="28"/>
    <w:bookmarkStart w:id="29" w:name="use-phase-data"/>
    <w:p>
      <w:pPr>
        <w:pStyle w:val="Heading4"/>
      </w:pPr>
      <w:r>
        <w:t xml:space="preserve">2.3.4. Use Phase Data</w:t>
      </w:r>
    </w:p>
    <w:p>
      <w:pPr>
        <w:numPr>
          <w:ilvl w:val="0"/>
          <w:numId w:val="1006"/>
        </w:numPr>
        <w:pStyle w:val="Compact"/>
      </w:pPr>
      <w:r>
        <w:rPr>
          <w:bCs/>
          <w:b/>
        </w:rPr>
        <w:t xml:space="preserve">Product Lifespan (`jjkrxgmyop`):</w:t>
      </w:r>
      <w:r>
        <w:t xml:space="preserve"> </w:t>
      </w:r>
      <w:r>
        <w:t xml:space="preserve">5 years</w:t>
      </w:r>
    </w:p>
    <w:p>
      <w:pPr>
        <w:numPr>
          <w:ilvl w:val="0"/>
          <w:numId w:val="1006"/>
        </w:numPr>
        <w:pStyle w:val="Compact"/>
      </w:pPr>
      <w:r>
        <w:rPr>
          <w:bCs/>
          <w:b/>
        </w:rPr>
        <w:t xml:space="preserve">Energy Consumption in Use (`kpejmjoviq`):</w:t>
      </w:r>
      <w:r>
        <w:t xml:space="preserve"> </w:t>
      </w:r>
      <w:r>
        <w:t xml:space="preserve">5 kWh/year</w:t>
      </w:r>
    </w:p>
    <w:p>
      <w:pPr>
        <w:numPr>
          <w:ilvl w:val="0"/>
          <w:numId w:val="1006"/>
        </w:numPr>
        <w:pStyle w:val="Compact"/>
      </w:pPr>
      <w:r>
        <w:rPr>
          <w:bCs/>
          <w:b/>
        </w:rPr>
        <w:t xml:space="preserve">Assumed Electricity Grid Emission Factor (User Location - Europe Focused):</w:t>
      </w:r>
      <w:r>
        <w:t xml:space="preserve"> </w:t>
      </w:r>
      <w:r>
        <w:t xml:space="preserve">0.3 kg CO2e/kWh (Illustrative average for European grid mix)</w:t>
      </w:r>
    </w:p>
    <w:bookmarkEnd w:id="29"/>
    <w:bookmarkStart w:id="30" w:name="end-of-life-eol-scenarios"/>
    <w:p>
      <w:pPr>
        <w:pStyle w:val="Heading4"/>
      </w:pPr>
      <w:r>
        <w:t xml:space="preserve">2.3.5. End-of-Life (EoL) Scenarios</w:t>
      </w:r>
    </w:p>
    <w:p>
      <w:pPr>
        <w:numPr>
          <w:ilvl w:val="0"/>
          <w:numId w:val="1007"/>
        </w:numPr>
        <w:pStyle w:val="Compact"/>
      </w:pPr>
      <w:r>
        <w:rPr>
          <w:bCs/>
          <w:b/>
        </w:rPr>
        <w:t xml:space="preserve">Recyclability Percentage (`wxjlimuhqq`):</w:t>
      </w:r>
      <w:r>
        <w:t xml:space="preserve"> </w:t>
      </w:r>
      <w:r>
        <w:t xml:space="preserve">80%</w:t>
      </w:r>
    </w:p>
    <w:p>
      <w:pPr>
        <w:numPr>
          <w:ilvl w:val="0"/>
          <w:numId w:val="1007"/>
        </w:numPr>
        <w:pStyle w:val="Compact"/>
      </w:pPr>
      <w:r>
        <w:rPr>
          <w:bCs/>
          <w:b/>
        </w:rPr>
        <w:t xml:space="preserve">Circular/Take-back Programs (`txkhhnuxep`):</w:t>
      </w:r>
      <w:r>
        <w:t xml:space="preserve"> </w:t>
      </w:r>
      <w:r>
        <w:t xml:space="preserve">Advanced product take-back program ensures high-value material recovery.</w:t>
      </w:r>
    </w:p>
    <w:p>
      <w:pPr>
        <w:numPr>
          <w:ilvl w:val="0"/>
          <w:numId w:val="1007"/>
        </w:numPr>
        <w:pStyle w:val="Compact"/>
      </w:pPr>
      <w:r>
        <w:rPr>
          <w:bCs/>
          <w:b/>
        </w:rPr>
        <w:t xml:space="preserve">Assumed Virgin Material Avoided by Recycling:</w:t>
      </w:r>
      <w:r>
        <w:t xml:space="preserve"> </w:t>
      </w:r>
      <w:r>
        <w:t xml:space="preserve">A credit equivalent to 50% of the raw material emissions for the recycled portion, reflecting a substitution approach.</w:t>
      </w:r>
    </w:p>
    <w:p>
      <w:pPr>
        <w:numPr>
          <w:ilvl w:val="0"/>
          <w:numId w:val="1007"/>
        </w:numPr>
        <w:pStyle w:val="Compact"/>
      </w:pPr>
      <w:r>
        <w:rPr>
          <w:bCs/>
          <w:b/>
        </w:rPr>
        <w:t xml:space="preserve">Assumed Disposal Emissions for Non-Recycled Portion:</w:t>
      </w:r>
      <w:r>
        <w:t xml:space="preserve"> </w:t>
      </w:r>
      <w:r>
        <w:t xml:space="preserve">0.05 kgCO2e/kg (Illustrative, for landfill/incineration with no energy recovery).</w:t>
      </w:r>
    </w:p>
    <w:p>
      <w:r>
        <w:pict>
          <v:rect style="width:0;height:1.5pt" o:hralign="center" o:hrstd="t" o:hr="t"/>
        </w:pict>
      </w:r>
    </w:p>
    <w:bookmarkEnd w:id="30"/>
    <w:bookmarkEnd w:id="31"/>
    <w:bookmarkEnd w:id="32"/>
    <w:bookmarkStart w:id="36" w:name="ghg-protocol-compliance-2026-lsr-update"/>
    <w:p>
      <w:pPr>
        <w:pStyle w:val="Heading2"/>
      </w:pPr>
      <w:r>
        <w:t xml:space="preserve">3. GHG Protocol Compliance &amp; 2026 LSR Update</w:t>
      </w:r>
    </w:p>
    <w:p>
      <w:pPr>
        <w:pStyle w:val="FirstParagraph"/>
      </w:pPr>
      <w:r>
        <w:t xml:space="preserve">This analysis adheres to the Greenhouse Gas Protocol\'s Corporate Accounting and Reporting Standard and the Corporate Value Chain (Scope 3) Accounting and Reporting Standard.</w:t>
      </w:r>
    </w:p>
    <w:bookmarkStart w:id="33" w:name="scope-categorization"/>
    <w:p>
      <w:pPr>
        <w:pStyle w:val="Heading3"/>
      </w:pPr>
      <w:r>
        <w:t xml:space="preserve">3.1. Scope Categorization</w:t>
      </w:r>
    </w:p>
    <w:p>
      <w:pPr>
        <w:numPr>
          <w:ilvl w:val="0"/>
          <w:numId w:val="1008"/>
        </w:numPr>
        <w:pStyle w:val="Compact"/>
      </w:pPr>
      <w:r>
        <w:rPr>
          <w:bCs/>
          <w:b/>
        </w:rPr>
        <w:t xml:space="preserve">Scope 1 (Direct Emissions):</w:t>
      </w:r>
      <w:r>
        <w:t xml:space="preserve"> </w:t>
      </w:r>
      <w:r>
        <w:t xml:space="preserve">Emissions from sources owned or controlled by pfzewzolwv (e.g., on-site fuel combustion). For this PCF, assuming no direct fuel combustion at the factory gate for this specific product\'s manufacturing process, Scope 1 emissions are considered negligible or integrated into Scope 2 for simplicity if utility-scale. Any specific direct process emissions would be captured here.</w:t>
      </w:r>
    </w:p>
    <w:p>
      <w:pPr>
        <w:numPr>
          <w:ilvl w:val="0"/>
          <w:numId w:val="1008"/>
        </w:numPr>
        <w:pStyle w:val="Compact"/>
      </w:pPr>
      <w:r>
        <w:rPr>
          <w:bCs/>
          <w:b/>
        </w:rPr>
        <w:t xml:space="preserve">Scope 2 (Energy Indirect Emissions):</w:t>
      </w:r>
      <w:r>
        <w:t xml:space="preserve"> </w:t>
      </w:r>
      <w:r>
        <w:t xml:space="preserve">Emissions from the generation of purchased electricity consumed by pfzewzolwv for manufacturing.</w:t>
      </w:r>
    </w:p>
    <w:p>
      <w:pPr>
        <w:numPr>
          <w:ilvl w:val="0"/>
          <w:numId w:val="1008"/>
        </w:numPr>
        <w:pStyle w:val="Compact"/>
      </w:pPr>
      <w:r>
        <w:rPr>
          <w:bCs/>
          <w:b/>
        </w:rPr>
        <w:t xml:space="preserve">Scope 3 (Other Indirect Emissions - Value Chain):</w:t>
      </w:r>
      <w:r>
        <w:t xml:space="preserve"> </w:t>
      </w:r>
      <w:r>
        <w:t xml:space="preserve">This constitutes the largest portion of the PCF, covering all other indirect emissions across the value chain, both upstream and downstream. Relevant categories include:</w:t>
      </w:r>
    </w:p>
    <w:p>
      <w:pPr>
        <w:numPr>
          <w:ilvl w:val="1"/>
          <w:numId w:val="1009"/>
        </w:numPr>
        <w:pStyle w:val="Compact"/>
      </w:pPr>
      <w:r>
        <w:t xml:space="preserve">Category 1: Purchased Goods and Services (Raw Materials &amp; up-stream manufacturing processes).</w:t>
      </w:r>
    </w:p>
    <w:p>
      <w:pPr>
        <w:numPr>
          <w:ilvl w:val="1"/>
          <w:numId w:val="1009"/>
        </w:numPr>
        <w:pStyle w:val="Compact"/>
      </w:pPr>
      <w:r>
        <w:t xml:space="preserve">Category 3: Fuel- and Energy-Related Activities (not included in Scope 1 or 2, e.g., upstream emissions of purchased electricity).</w:t>
      </w:r>
    </w:p>
    <w:p>
      <w:pPr>
        <w:numPr>
          <w:ilvl w:val="1"/>
          <w:numId w:val="1009"/>
        </w:numPr>
        <w:pStyle w:val="Compact"/>
      </w:pPr>
      <w:r>
        <w:t xml:space="preserve">Category 4: Upstream Transportation and Distribution (Raw material transport).</w:t>
      </w:r>
    </w:p>
    <w:p>
      <w:pPr>
        <w:numPr>
          <w:ilvl w:val="1"/>
          <w:numId w:val="1009"/>
        </w:numPr>
        <w:pStyle w:val="Compact"/>
      </w:pPr>
      <w:r>
        <w:t xml:space="preserve">Category 9: Downstream Transportation and Distribution (Product distribution to customer).</w:t>
      </w:r>
    </w:p>
    <w:p>
      <w:pPr>
        <w:numPr>
          <w:ilvl w:val="1"/>
          <w:numId w:val="1009"/>
        </w:numPr>
        <w:pStyle w:val="Compact"/>
      </w:pPr>
      <w:r>
        <w:t xml:space="preserve">Category 11: Use of Sold Products (Product energy consumption during use).</w:t>
      </w:r>
    </w:p>
    <w:p>
      <w:pPr>
        <w:numPr>
          <w:ilvl w:val="1"/>
          <w:numId w:val="1009"/>
        </w:numPr>
        <w:pStyle w:val="Compact"/>
      </w:pPr>
      <w:r>
        <w:t xml:space="preserve">Category 12: End-of-Life Treatment of Sold Products (Disposal and recycling).</w:t>
      </w:r>
    </w:p>
    <w:bookmarkEnd w:id="33"/>
    <w:bookmarkStart w:id="34" w:name="X504f4a86e01fdcfa46a4589bb1b5e0cfaad8629"/>
    <w:p>
      <w:pPr>
        <w:pStyle w:val="Heading3"/>
      </w:pPr>
      <w:r>
        <w:t xml:space="preserve">3.2. 2026 Land Sector and Removals (LSR) Standard Update</w:t>
      </w:r>
    </w:p>
    <w:p>
      <w:pPr>
        <w:pStyle w:val="FirstParagraph"/>
      </w:pPr>
      <w:r>
        <w:t xml:space="preserve">The GHG Protocol\'s Land Sector and Removals (LSR) Standard, effective January 1, 2027, provides comprehensive guidance for accounting for land emissions, CO2 removals, and technological CO2 removals. While specific land-use related inputs for \'slvomqsdtg\' are not detailed, the principles of the LSR Standard – particularly around robust accounting for carbon removals – are considered in the End-of-Life phase regarding circular economy benefits from recycling and take-back programs. For products with significant agricultural or forestry components, the LSR Standard would necessitate detailed tracking of biogenic carbon flows and land-use change impacts.</w:t>
      </w:r>
    </w:p>
    <w:bookmarkEnd w:id="34"/>
    <w:bookmarkStart w:id="35" w:name="scope-3-compliance-95-coverage"/>
    <w:p>
      <w:pPr>
        <w:pStyle w:val="Heading3"/>
      </w:pPr>
      <w:r>
        <w:t xml:space="preserve">3.3. Scope 3 Compliance (95% Coverage)</w:t>
      </w:r>
    </w:p>
    <w:p>
      <w:pPr>
        <w:pStyle w:val="FirstParagraph"/>
      </w:pPr>
      <w:r>
        <w:t xml:space="preserve">As per 2026 requirements, this assessment aims for at least 95% coverage for Scope 3 reporting. By including comprehensive data for raw materials, manufacturing energy, all transport legs, the entire product use phase, and detailed end-of-life scenarios, the report endeavors to meet this stringent coverage target by addressing the most material emission sources in the product\'s value chain.</w:t>
      </w:r>
    </w:p>
    <w:p>
      <w:r>
        <w:pict>
          <v:rect style="width:0;height:1.5pt" o:hralign="center" o:hrstd="t" o:hr="t"/>
        </w:pict>
      </w:r>
    </w:p>
    <w:bookmarkEnd w:id="35"/>
    <w:bookmarkEnd w:id="36"/>
    <w:bookmarkStart w:id="46" w:name="X2c62247db19834934c44c209ad423fe06ba5c64"/>
    <w:p>
      <w:pPr>
        <w:pStyle w:val="Heading2"/>
      </w:pPr>
      <w:r>
        <w:t xml:space="preserve">4. Calculation of Emissions (Activity * Emission Factor = CO2e)</w:t>
      </w:r>
    </w:p>
    <w:p>
      <w:pPr>
        <w:pStyle w:val="FirstParagraph"/>
      </w:pPr>
      <w:r>
        <w:t xml:space="preserve">The following calculations detail the CO2e emissions for each lifecycle stage based on the collected data and assumed emission factors.</w:t>
      </w:r>
    </w:p>
    <w:bookmarkStart w:id="37" w:name="X803f1a2d294c2df7ca399abbc08b79c0f9fca01"/>
    <w:p>
      <w:pPr>
        <w:pStyle w:val="Heading3"/>
      </w:pPr>
      <w:r>
        <w:t xml:space="preserve">4.1. Raw Material Acquisition &amp; Pre-processing (Scope 3, Category 1)</w:t>
      </w:r>
    </w:p>
    <w:p>
      <w:pPr>
        <w:pStyle w:val="FirstParagraph"/>
      </w:pPr>
      <w:r>
        <w:t xml:space="preserve">This stage aggregates the \'Total Carbon\' from the Detailed Bill of Materials (`itzgqkmt`).</w:t>
      </w:r>
    </w:p>
    <w:p>
      <w:pPr>
        <w:pStyle w:val="BodyText"/>
      </w:pPr>
      <w:r>
        <w:rPr>
          <w:bCs/>
          <w:b/>
        </w:rPr>
        <w:t xml:space="preserve">Total Raw Material Emissions:</w:t>
      </w:r>
      <w:r>
        <w:t xml:space="preserve"> </w:t>
      </w:r>
      <w:r>
        <w:t xml:space="preserve">5.20 kgCO2e/unit</w:t>
      </w:r>
    </w:p>
    <w:bookmarkEnd w:id="37"/>
    <w:bookmarkStart w:id="41" w:name="manufacturing-factory-gate"/>
    <w:p>
      <w:pPr>
        <w:pStyle w:val="Heading3"/>
      </w:pPr>
      <w:r>
        <w:t xml:space="preserve">4.2. Manufacturing (Factory Gate)</w:t>
      </w:r>
    </w:p>
    <w:bookmarkStart w:id="38" w:name="scope-1-emissions-direct-emissions"/>
    <w:p>
      <w:pPr>
        <w:pStyle w:val="Heading4"/>
      </w:pPr>
      <w:r>
        <w:t xml:space="preserve">4.2.1. Scope 1 Emissions (Direct Emissions)</w:t>
      </w:r>
    </w:p>
    <w:p>
      <w:pPr>
        <w:pStyle w:val="FirstParagraph"/>
      </w:pPr>
      <w:r>
        <w:t xml:space="preserve">For \'slvomqsdtg\' at the pfzewzolwv factory, direct fuel combustion for manufacturing is assumed to be negligible or covered by upstream energy accounting. Therefore, direct Scope 1 emissions for the product unit are considered 0 kgCO2e.</w:t>
      </w:r>
    </w:p>
    <w:p>
      <w:pPr>
        <w:pStyle w:val="BodyText"/>
      </w:pPr>
      <w:r>
        <w:rPr>
          <w:bCs/>
          <w:b/>
        </w:rPr>
        <w:t xml:space="preserve">Scope 1 Emissions:</w:t>
      </w:r>
      <w:r>
        <w:t xml:space="preserve"> </w:t>
      </w:r>
      <w:r>
        <w:t xml:space="preserve">0.00 kgCO2e/unit</w:t>
      </w:r>
    </w:p>
    <w:bookmarkEnd w:id="38"/>
    <w:bookmarkStart w:id="39" w:name="scope-2-emissions-purchased-electricity"/>
    <w:p>
      <w:pPr>
        <w:pStyle w:val="Heading4"/>
      </w:pPr>
      <w:r>
        <w:t xml:space="preserve">4.2.2. Scope 2 Emissions (Purchased Electricity)</w:t>
      </w:r>
    </w:p>
    <w:p>
      <w:pPr>
        <w:pStyle w:val="FirstParagraph"/>
      </w:pPr>
      <w:r>
        <w:t xml:space="preserve">Calculations are based on the energy intensity, renewable energy usage, and the China grid emission factor.</w:t>
      </w:r>
    </w:p>
    <w:p>
      <w:pPr>
        <w:numPr>
          <w:ilvl w:val="0"/>
          <w:numId w:val="1010"/>
        </w:numPr>
        <w:pStyle w:val="Compact"/>
      </w:pPr>
      <w:r>
        <w:t xml:space="preserve">Total Electricity per unit: 10 kWh/unit</w:t>
      </w:r>
    </w:p>
    <w:p>
      <w:pPr>
        <w:numPr>
          <w:ilvl w:val="0"/>
          <w:numId w:val="1010"/>
        </w:numPr>
        <w:pStyle w:val="Compact"/>
      </w:pPr>
      <w:r>
        <w:t xml:space="preserve">Renewable portion: 10 kWh * 70% = 7 kWh</w:t>
      </w:r>
    </w:p>
    <w:p>
      <w:pPr>
        <w:numPr>
          <w:ilvl w:val="0"/>
          <w:numId w:val="1010"/>
        </w:numPr>
        <w:pStyle w:val="Compact"/>
      </w:pPr>
      <w:r>
        <w:t xml:space="preserve">Non-renewable portion: 10 kWh * 30% = 3 kWh</w:t>
      </w:r>
    </w:p>
    <w:p>
      <w:pPr>
        <w:numPr>
          <w:ilvl w:val="0"/>
          <w:numId w:val="1010"/>
        </w:numPr>
        <w:pStyle w:val="Compact"/>
      </w:pPr>
      <w:r>
        <w:t xml:space="preserve">Emissions from Non-renewable Electricity: 3 kWh * 0.6 kgCO2e/kWh = 1.8 kgCO2e/unit</w:t>
      </w:r>
    </w:p>
    <w:p>
      <w:pPr>
        <w:pStyle w:val="FirstParagraph"/>
      </w:pPr>
      <w:r>
        <w:rPr>
          <w:bCs/>
          <w:b/>
        </w:rPr>
        <w:t xml:space="preserve">Scope 2 Emissions:</w:t>
      </w:r>
      <w:r>
        <w:t xml:space="preserve"> </w:t>
      </w:r>
      <w:r>
        <w:t xml:space="preserve">1.80 kgCO2e/unit</w:t>
      </w:r>
    </w:p>
    <w:bookmarkEnd w:id="39"/>
    <w:bookmarkStart w:id="40" w:name="Xf7018045db9b9ea8a0e3ea9f4e7f5a34c3c5cb2"/>
    <w:p>
      <w:pPr>
        <w:pStyle w:val="Heading4"/>
      </w:pPr>
      <w:r>
        <w:t xml:space="preserve">4.2.3. Scope 3 Emissions (Upstream Fuel- &amp; Energy-Related Activities)</w:t>
      </w:r>
    </w:p>
    <w:p>
      <w:pPr>
        <w:pStyle w:val="FirstParagraph"/>
      </w:pPr>
      <w:r>
        <w:t xml:space="preserve">This category accounts for the upstream (well-to-tank) emissions associated with the generation of purchased electricity not included in Scope 2. For simplicity and given the lack of specific upstream electricity factors for China, this is often a small percentage of the Scope 2 emissions. Here, we\'ll assume an additional 10% of the non-renewable Scope 2 emissions for upstream fuel and energy related activities.</w:t>
      </w:r>
    </w:p>
    <w:p>
      <w:pPr>
        <w:numPr>
          <w:ilvl w:val="0"/>
          <w:numId w:val="1011"/>
        </w:numPr>
        <w:pStyle w:val="Compact"/>
      </w:pPr>
      <w:r>
        <w:t xml:space="preserve">Upstream emissions from purchased electricity (illustrative): 1.8 kgCO2e * 10% = 0.18 kgCO2e/unit</w:t>
      </w:r>
    </w:p>
    <w:p>
      <w:pPr>
        <w:pStyle w:val="FirstParagraph"/>
      </w:pPr>
      <w:r>
        <w:rPr>
          <w:bCs/>
          <w:b/>
        </w:rPr>
        <w:t xml:space="preserve">Scope 3 (Cat 3) Emissions:</w:t>
      </w:r>
      <w:r>
        <w:t xml:space="preserve"> </w:t>
      </w:r>
      <w:r>
        <w:t xml:space="preserve">0.18 kgCO2e/unit</w:t>
      </w:r>
    </w:p>
    <w:bookmarkEnd w:id="40"/>
    <w:bookmarkEnd w:id="41"/>
    <w:bookmarkStart w:id="42" w:name="transportation-scope-3-categories-4-9"/>
    <w:p>
      <w:pPr>
        <w:pStyle w:val="Heading3"/>
      </w:pPr>
      <w:r>
        <w:t xml:space="preserve">4.3. Transportation (Scope 3, Categories 4 &amp; 9)</w:t>
      </w:r>
    </w:p>
    <w:p>
      <w:pPr>
        <w:pStyle w:val="FirstParagraph"/>
      </w:pPr>
      <w:r>
        <w:t xml:space="preserve">Calculations for upstream and downstream transportation based on product weight and distances.</w:t>
      </w:r>
    </w:p>
    <w:p>
      <w:pPr>
        <w:numPr>
          <w:ilvl w:val="0"/>
          <w:numId w:val="1012"/>
        </w:numPr>
        <w:pStyle w:val="Compact"/>
      </w:pPr>
      <w:r>
        <w:t xml:space="preserve">Product Weight: 0.6 kg = 0.0006 tonnes</w:t>
      </w:r>
    </w:p>
    <w:p>
      <w:pPr>
        <w:numPr>
          <w:ilvl w:val="0"/>
          <w:numId w:val="1012"/>
        </w:numPr>
        <w:pStyle w:val="Compact"/>
      </w:pPr>
      <w:r>
        <w:rPr>
          <w:bCs/>
          <w:b/>
        </w:rPr>
        <w:t xml:space="preserve">Ocean Freight (China to Europe - Upstream):</w:t>
      </w:r>
    </w:p>
    <w:p>
      <w:pPr>
        <w:numPr>
          <w:ilvl w:val="1"/>
          <w:numId w:val="1013"/>
        </w:numPr>
        <w:pStyle w:val="Compact"/>
      </w:pPr>
      <w:r>
        <w:t xml:space="preserve">Distance: 10,000 km</w:t>
      </w:r>
    </w:p>
    <w:p>
      <w:pPr>
        <w:numPr>
          <w:ilvl w:val="1"/>
          <w:numId w:val="1013"/>
        </w:numPr>
        <w:pStyle w:val="Compact"/>
      </w:pPr>
      <w:r>
        <w:t xml:space="preserve">Emissions: 0.0006 tonnes * 10,000 km * 0.016 kgCO2e/tonne-km = 0.096 kgCO2e/unit</w:t>
      </w:r>
    </w:p>
    <w:p>
      <w:pPr>
        <w:numPr>
          <w:ilvl w:val="0"/>
          <w:numId w:val="1012"/>
        </w:numPr>
        <w:pStyle w:val="Compact"/>
      </w:pPr>
      <w:r>
        <w:rPr>
          <w:bCs/>
          <w:b/>
        </w:rPr>
        <w:t xml:space="preserve">Road Freight (Europe Distribution - Downstream):</w:t>
      </w:r>
    </w:p>
    <w:p>
      <w:pPr>
        <w:numPr>
          <w:ilvl w:val="1"/>
          <w:numId w:val="1014"/>
        </w:numPr>
        <w:pStyle w:val="Compact"/>
      </w:pPr>
      <w:r>
        <w:t xml:space="preserve">Distance: 500 km</w:t>
      </w:r>
    </w:p>
    <w:p>
      <w:pPr>
        <w:numPr>
          <w:ilvl w:val="1"/>
          <w:numId w:val="1014"/>
        </w:numPr>
        <w:pStyle w:val="Compact"/>
      </w:pPr>
      <w:r>
        <w:t xml:space="preserve">Emissions: 0.0006 tonnes * 500 km * 0.07 kgCO2e/tonne-km = 0.021 kgCO2e/unit</w:t>
      </w:r>
    </w:p>
    <w:p>
      <w:pPr>
        <w:numPr>
          <w:ilvl w:val="0"/>
          <w:numId w:val="1012"/>
        </w:numPr>
        <w:pStyle w:val="Compact"/>
      </w:pPr>
      <w:r>
        <w:rPr>
          <w:bCs/>
          <w:b/>
        </w:rPr>
        <w:t xml:space="preserve">Last-Mile Delivery (Downstream):</w:t>
      </w:r>
    </w:p>
    <w:p>
      <w:pPr>
        <w:numPr>
          <w:ilvl w:val="1"/>
          <w:numId w:val="1015"/>
        </w:numPr>
        <w:pStyle w:val="Compact"/>
      </w:pPr>
      <w:r>
        <w:t xml:space="preserve">Distance: 100 km</w:t>
      </w:r>
    </w:p>
    <w:p>
      <w:pPr>
        <w:numPr>
          <w:ilvl w:val="1"/>
          <w:numId w:val="1015"/>
        </w:numPr>
        <w:pStyle w:val="Compact"/>
      </w:pPr>
      <w:r>
        <w:t xml:space="preserve">Assuming one unit is delivered per van trip for this 100km last-mile segment: 100 km * 0.25 kgCO2e/km = 25.0 kgCO2e/unit (This is a simplified worst-case; real-world last-mile delivery often consolidates many units. For a single unit, this significantly impacts the PCF. Given the parameter, this direct multiplication is used, acknowledging its high impact.)</w:t>
      </w:r>
    </w:p>
    <w:p>
      <w:pPr>
        <w:pStyle w:val="FirstParagraph"/>
      </w:pPr>
      <w:r>
        <w:rPr>
          <w:bCs/>
          <w:b/>
        </w:rPr>
        <w:t xml:space="preserve">Total Transportation Emissions:</w:t>
      </w:r>
      <w:r>
        <w:t xml:space="preserve"> </w:t>
      </w:r>
      <w:r>
        <w:t xml:space="preserve">0.096 (Ocean) + 0.021 (Road) + 25.0 (Last-Mile) = 25.117 kgCO2e/unit</w:t>
      </w:r>
    </w:p>
    <w:p>
      <w:pPr>
        <w:pStyle w:val="BodyText"/>
      </w:pPr>
      <w:r>
        <w:rPr>
          <w:iCs/>
          <w:i/>
        </w:rPr>
        <w:t xml:space="preserve">Note on Last-Mile:</w:t>
      </w:r>
      <w:r>
        <w:t xml:space="preserve"> </w:t>
      </w:r>
      <w:r>
        <w:t xml:space="preserve">The significant impact of last-mile delivery calculated here assumes a dedicated van trip for a single unit over 100km. In reality, last-mile efficiency greatly varies and often involves multiple deliveries per trip, which would reduce the per-unit impact. This calculation reflects the literal interpretation of the provided distance and delivery type for a single functional unit. To improve accuracy, average payload and route optimization data for \'Delivery Type\' would be required.</w:t>
      </w:r>
    </w:p>
    <w:bookmarkEnd w:id="42"/>
    <w:bookmarkStart w:id="43" w:name="use-phase-scope-3-category-11"/>
    <w:p>
      <w:pPr>
        <w:pStyle w:val="Heading3"/>
      </w:pPr>
      <w:r>
        <w:t xml:space="preserve">4.4. Use Phase (Scope 3, Category 11)</w:t>
      </w:r>
    </w:p>
    <w:p>
      <w:pPr>
        <w:pStyle w:val="FirstParagraph"/>
      </w:pPr>
      <w:r>
        <w:t xml:space="preserve">Calculations based on product lifespan, annual energy consumption, and an illustrative European electricity grid emission factor.</w:t>
      </w:r>
    </w:p>
    <w:p>
      <w:pPr>
        <w:numPr>
          <w:ilvl w:val="0"/>
          <w:numId w:val="1016"/>
        </w:numPr>
        <w:pStyle w:val="Compact"/>
      </w:pPr>
      <w:r>
        <w:t xml:space="preserve">Annual Energy Consumption: 5 kWh/year</w:t>
      </w:r>
    </w:p>
    <w:p>
      <w:pPr>
        <w:numPr>
          <w:ilvl w:val="0"/>
          <w:numId w:val="1016"/>
        </w:numPr>
        <w:pStyle w:val="Compact"/>
      </w:pPr>
      <w:r>
        <w:t xml:space="preserve">Product Lifespan: 5 years</w:t>
      </w:r>
    </w:p>
    <w:p>
      <w:pPr>
        <w:numPr>
          <w:ilvl w:val="0"/>
          <w:numId w:val="1016"/>
        </w:numPr>
        <w:pStyle w:val="Compact"/>
      </w:pPr>
      <w:r>
        <w:t xml:space="preserve">Total Energy Consumption over Lifespan: 5 kWh/year * 5 years = 25 kWh/unit</w:t>
      </w:r>
    </w:p>
    <w:p>
      <w:pPr>
        <w:numPr>
          <w:ilvl w:val="0"/>
          <w:numId w:val="1016"/>
        </w:numPr>
        <w:pStyle w:val="Compact"/>
      </w:pPr>
      <w:r>
        <w:t xml:space="preserve">Emissions: 25 kWh * 0.3 kgCO2e/kWh = 7.5 kgCO2e/unit</w:t>
      </w:r>
    </w:p>
    <w:p>
      <w:pPr>
        <w:pStyle w:val="FirstParagraph"/>
      </w:pPr>
      <w:r>
        <w:rPr>
          <w:bCs/>
          <w:b/>
        </w:rPr>
        <w:t xml:space="preserve">Total Use Phase Emissions:</w:t>
      </w:r>
      <w:r>
        <w:t xml:space="preserve"> </w:t>
      </w:r>
      <w:r>
        <w:t xml:space="preserve">7.50 kgCO2e/unit</w:t>
      </w:r>
    </w:p>
    <w:bookmarkEnd w:id="43"/>
    <w:bookmarkStart w:id="44" w:name="end-of-life-eol-scope-3-category-12"/>
    <w:p>
      <w:pPr>
        <w:pStyle w:val="Heading3"/>
      </w:pPr>
      <w:r>
        <w:t xml:space="preserve">4.5. End-of-Life (EoL) (Scope 3, Category 12)</w:t>
      </w:r>
    </w:p>
    <w:p>
      <w:pPr>
        <w:pStyle w:val="FirstParagraph"/>
      </w:pPr>
      <w:r>
        <w:t xml:space="preserve">Calculations incorporate recyclability and circular economy programs using an avoided burden approach.</w:t>
      </w:r>
    </w:p>
    <w:p>
      <w:pPr>
        <w:numPr>
          <w:ilvl w:val="0"/>
          <w:numId w:val="1017"/>
        </w:numPr>
        <w:pStyle w:val="Compact"/>
      </w:pPr>
      <w:r>
        <w:t xml:space="preserve">Product Weight: 0.6 kg</w:t>
      </w:r>
    </w:p>
    <w:p>
      <w:pPr>
        <w:numPr>
          <w:ilvl w:val="0"/>
          <w:numId w:val="1017"/>
        </w:numPr>
        <w:pStyle w:val="Compact"/>
      </w:pPr>
      <w:r>
        <w:t xml:space="preserve">Recyclability Percentage: 80%</w:t>
      </w:r>
    </w:p>
    <w:p>
      <w:pPr>
        <w:numPr>
          <w:ilvl w:val="0"/>
          <w:numId w:val="1017"/>
        </w:numPr>
        <w:pStyle w:val="Compact"/>
      </w:pPr>
      <w:r>
        <w:t xml:space="preserve">Weight Recycled: 0.6 kg * 80% = 0.48 kg</w:t>
      </w:r>
    </w:p>
    <w:p>
      <w:pPr>
        <w:numPr>
          <w:ilvl w:val="0"/>
          <w:numId w:val="1017"/>
        </w:numPr>
        <w:pStyle w:val="Compact"/>
      </w:pPr>
      <w:r>
        <w:t xml:space="preserve">Weight Disposed: 0.6 kg * 20% = 0.12 kg</w:t>
      </w:r>
    </w:p>
    <w:p>
      <w:pPr>
        <w:numPr>
          <w:ilvl w:val="0"/>
          <w:numId w:val="1017"/>
        </w:numPr>
        <w:pStyle w:val="Compact"/>
      </w:pPr>
      <w:r>
        <w:rPr>
          <w:bCs/>
          <w:b/>
        </w:rPr>
        <w:t xml:space="preserve">Credits from Recycling:</w:t>
      </w:r>
      <w:r>
        <w:t xml:space="preserve"> </w:t>
      </w:r>
      <w:r>
        <w:t xml:space="preserve">Assuming an avoided burden (substitution) approach, a credit is applied for the virgin material avoided. This assumes the recycled material replaces virgin production.</w:t>
      </w:r>
    </w:p>
    <w:p>
      <w:pPr>
        <w:numPr>
          <w:ilvl w:val="1"/>
          <w:numId w:val="1018"/>
        </w:numPr>
        <w:pStyle w:val="Compact"/>
      </w:pPr>
      <w:r>
        <w:t xml:space="preserve">Raw Material Emissions for 0.6 kg of product (from BOM total) = 5.20 kgCO2e.</w:t>
      </w:r>
    </w:p>
    <w:p>
      <w:pPr>
        <w:numPr>
          <w:ilvl w:val="1"/>
          <w:numId w:val="1018"/>
        </w:numPr>
        <w:pStyle w:val="Compact"/>
      </w:pPr>
      <w:r>
        <w:t xml:space="preserve">Credit (illustrative 50% of raw material emissions for recycled portion): (5.20 kgCO2e / 0.6 kg) * 0.48 kg * 0.50 = 2.08 kgCO2e credit</w:t>
      </w:r>
    </w:p>
    <w:p>
      <w:pPr>
        <w:numPr>
          <w:ilvl w:val="0"/>
          <w:numId w:val="1017"/>
        </w:numPr>
        <w:pStyle w:val="Compact"/>
      </w:pPr>
      <w:r>
        <w:rPr>
          <w:bCs/>
          <w:b/>
        </w:rPr>
        <w:t xml:space="preserve">Emissions from Disposal (Non-recycled portion):</w:t>
      </w:r>
    </w:p>
    <w:p>
      <w:pPr>
        <w:numPr>
          <w:ilvl w:val="1"/>
          <w:numId w:val="1019"/>
        </w:numPr>
        <w:pStyle w:val="Compact"/>
      </w:pPr>
      <w:r>
        <w:t xml:space="preserve">Emissions: 0.12 kg * 0.05 kgCO2e/kg (illustrative disposal factor) = 0.006 kgCO2e/unit</w:t>
      </w:r>
    </w:p>
    <w:p>
      <w:pPr>
        <w:pStyle w:val="FirstParagraph"/>
      </w:pPr>
      <w:r>
        <w:rPr>
          <w:bCs/>
          <w:b/>
        </w:rPr>
        <w:t xml:space="preserve">Total End-of-Life Emissions:</w:t>
      </w:r>
      <w:r>
        <w:t xml:space="preserve"> </w:t>
      </w:r>
      <w:r>
        <w:t xml:space="preserve">0.006 (Disposal) - 2.08 (Credit) = -2.074 kgCO2e/unit (Net Carbon Sequestration/Avoidance)</w:t>
      </w:r>
    </w:p>
    <w:bookmarkEnd w:id="44"/>
    <w:bookmarkStart w:id="45" w:name="X299a3717db401fbc63eac38de0814f3ad8939f4"/>
    <w:p>
      <w:pPr>
        <w:pStyle w:val="Heading3"/>
      </w:pPr>
      <w:r>
        <w:t xml:space="preserve">4.6. Total Product Carbon Footprint (PCF) Summary</w:t>
      </w:r>
    </w:p>
    <w:p>
      <w:pPr>
        <w:pStyle w:val="FirstParagraph"/>
      </w:pPr>
      <w:r>
        <w:t xml:space="preserve">The aggregate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5.200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1.800</w:t>
            </w:r>
          </w:p>
        </w:tc>
      </w:tr>
      <w:tr>
        <w:tc>
          <w:tcPr/>
          <w:p>
            <w:pPr>
              <w:pStyle w:val="Compact"/>
              <w:jc w:val="left"/>
            </w:pPr>
            <w:r>
              <w:t xml:space="preserve">Manufacturing (Scope 3 - Upstream Energy)</w:t>
            </w:r>
          </w:p>
        </w:tc>
        <w:tc>
          <w:tcPr/>
          <w:p>
            <w:pPr>
              <w:pStyle w:val="Compact"/>
              <w:jc w:val="left"/>
            </w:pPr>
            <w:r>
              <w:t xml:space="preserve">Scope 3 (Category 3)</w:t>
            </w:r>
          </w:p>
        </w:tc>
        <w:tc>
          <w:tcPr/>
          <w:p>
            <w:pPr>
              <w:pStyle w:val="Compact"/>
              <w:jc w:val="left"/>
            </w:pPr>
            <w:r>
              <w:t xml:space="preserve">0.180</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25.117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-2.074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37.723 kgCO2e/unit</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PCF analysis reveals the following key emission hotspots for \'slvomqsdtg\':</w:t>
      </w:r>
    </w:p>
    <w:p>
      <w:pPr>
        <w:numPr>
          <w:ilvl w:val="0"/>
          <w:numId w:val="1020"/>
        </w:numPr>
        <w:pStyle w:val="Compact"/>
      </w:pPr>
      <w:r>
        <w:rPr>
          <w:bCs/>
          <w:b/>
        </w:rPr>
        <w:t xml:space="preserve">Transportation (25.117 kgCO2e/unit):</w:t>
      </w:r>
      <w:r>
        <w:t xml:space="preserve"> </w:t>
      </w:r>
      <w:r>
        <w:t xml:space="preserve">This category, heavily influenced by the last-mile delivery assumption, is by far the largest contributor. The specific \'Delivery Type\' and \'Transport Distance\' parameters, particularly the 100km last-mile for a single unit, drive this impact. Optimized last-mile logistics (e.g., higher consolidation rates, shorter distances per unit) would significantly reduce this.</w:t>
      </w:r>
    </w:p>
    <w:p>
      <w:pPr>
        <w:numPr>
          <w:ilvl w:val="0"/>
          <w:numId w:val="1020"/>
        </w:numPr>
        <w:pStyle w:val="Compact"/>
      </w:pPr>
      <w:r>
        <w:rPr>
          <w:bCs/>
          <w:b/>
        </w:rPr>
        <w:t xml:space="preserve">Use Phase (7.500 kgCO2e/unit):</w:t>
      </w:r>
      <w:r>
        <w:t xml:space="preserve"> </w:t>
      </w:r>
      <w:r>
        <w:t xml:space="preserve">The energy consumed during the product\'s 5-year lifespan contributes substantially, highlighting the importance of energy-efficient product design and promoting renewable energy adoption by end-users.</w:t>
      </w:r>
    </w:p>
    <w:p>
      <w:pPr>
        <w:numPr>
          <w:ilvl w:val="0"/>
          <w:numId w:val="1020"/>
        </w:numPr>
        <w:pStyle w:val="Compact"/>
      </w:pPr>
      <w:r>
        <w:rPr>
          <w:bCs/>
          <w:b/>
        </w:rPr>
        <w:t xml:space="preserve">Raw Materials (5.200 kgCO2e/unit):</w:t>
      </w:r>
      <w:r>
        <w:t xml:space="preserve"> </w:t>
      </w:r>
      <w:r>
        <w:t xml:space="preserve">The materials, particularly the circuit board and lithium-ion battery, have notable upstream impacts. This emphasizes the need for sustainable sourcing and exploring lower-carbon material alternatives.</w:t>
      </w:r>
    </w:p>
    <w:bookmarkEnd w:id="47"/>
    <w:bookmarkStart w:id="48" w:name="reliability-and-limitations"/>
    <w:p>
      <w:pPr>
        <w:pStyle w:val="Heading3"/>
      </w:pPr>
      <w:r>
        <w:t xml:space="preserve">5.2. Reliability and Limitations</w:t>
      </w:r>
    </w:p>
    <w:p>
      <w:pPr>
        <w:pStyle w:val="FirstParagraph"/>
      </w:pPr>
      <w:r>
        <w:t xml:space="preserve">The reliability of this PCF is good for the data provided but is subject to the following considerations:</w:t>
      </w:r>
    </w:p>
    <w:p>
      <w:pPr>
        <w:numPr>
          <w:ilvl w:val="0"/>
          <w:numId w:val="1021"/>
        </w:numPr>
        <w:pStyle w:val="Compact"/>
      </w:pPr>
      <w:r>
        <w:rPr>
          <w:bCs/>
          <w:b/>
        </w:rPr>
        <w:t xml:space="preserve">Illustrative Data:</w:t>
      </w:r>
      <w:r>
        <w:t xml:space="preserve"> </w:t>
      </w:r>
      <w:r>
        <w:t xml:space="preserve">The values for BOM, transport distances, energy usage, and EoL scenarios, while based on the provided parameters, are illustrative. Real-world, primary activity data would enhance accuracy.</w:t>
      </w:r>
    </w:p>
    <w:p>
      <w:pPr>
        <w:numPr>
          <w:ilvl w:val="0"/>
          <w:numId w:val="1021"/>
        </w:numPr>
        <w:pStyle w:val="Compact"/>
      </w:pPr>
      <w:r>
        <w:rPr>
          <w:bCs/>
          <w:b/>
        </w:rPr>
        <w:t xml:space="preserve">Emission Factor Assumptions:</w:t>
      </w:r>
      <w:r>
        <w:t xml:space="preserve"> </w:t>
      </w:r>
      <w:r>
        <w:t xml:space="preserve">Generic, publicly available emission factors have been used for transport and electricity grids. While these are industry-standard, product-specific or supplier-specific factors would provide greater precision.</w:t>
      </w:r>
    </w:p>
    <w:p>
      <w:pPr>
        <w:numPr>
          <w:ilvl w:val="0"/>
          <w:numId w:val="1021"/>
        </w:numPr>
        <w:pStyle w:val="Compact"/>
      </w:pPr>
      <w:r>
        <w:rPr>
          <w:bCs/>
          <w:b/>
        </w:rPr>
        <w:t xml:space="preserve">Last-Mile Delivery Interpretation:</w:t>
      </w:r>
      <w:r>
        <w:t xml:space="preserve"> </w:t>
      </w:r>
      <w:r>
        <w:t xml:space="preserve">The assumption of a dedicated last-mile trip per unit over 100km significantly inflates this category. Further data on average last-mile vehicle utilization for \'Delivery Type\' would refine this.</w:t>
      </w:r>
    </w:p>
    <w:p>
      <w:pPr>
        <w:numPr>
          <w:ilvl w:val="0"/>
          <w:numId w:val="1021"/>
        </w:numPr>
        <w:pStyle w:val="Compact"/>
      </w:pPr>
      <w:r>
        <w:rPr>
          <w:bCs/>
          <w:b/>
        </w:rPr>
        <w:t xml:space="preserve">EoL Credits:</w:t>
      </w:r>
      <w:r>
        <w:t xml:space="preserve"> </w:t>
      </w:r>
      <w:r>
        <w:t xml:space="preserve">The 50% avoided burden for recycling is an assumption. Actual avoided emissions can vary based on the specific recycling technology and virgin material displaced.</w:t>
      </w:r>
    </w:p>
    <w:p>
      <w:pPr>
        <w:numPr>
          <w:ilvl w:val="0"/>
          <w:numId w:val="1021"/>
        </w:numPr>
        <w:pStyle w:val="Compact"/>
      </w:pPr>
      <w:r>
        <w:rPr>
          <w:bCs/>
          <w:b/>
        </w:rPr>
        <w:t xml:space="preserve">LSR Standard:</w:t>
      </w:r>
      <w:r>
        <w:t xml:space="preserve"> </w:t>
      </w:r>
      <w:r>
        <w:t xml:space="preserve">While acknowledged, specific land-use emissions and removals directly attributable to \'slvomqsdtg\' were not explicitly provided, thus assumed to be accounted for in generic material factors or negligible.</w:t>
      </w:r>
    </w:p>
    <w:bookmarkEnd w:id="48"/>
    <w:bookmarkStart w:id="49" w:name="recommendations-for-reduction"/>
    <w:p>
      <w:pPr>
        <w:pStyle w:val="Heading3"/>
      </w:pPr>
      <w:r>
        <w:t xml:space="preserve">5.3. Recommendations for Reduction</w:t>
      </w:r>
    </w:p>
    <w:p>
      <w:pPr>
        <w:pStyle w:val="FirstParagraph"/>
      </w:pPr>
      <w:r>
        <w:t xml:space="preserve">Based on the hotspots identified, pfzewzolwv should focus on:</w:t>
      </w:r>
    </w:p>
    <w:p>
      <w:pPr>
        <w:numPr>
          <w:ilvl w:val="0"/>
          <w:numId w:val="1022"/>
        </w:numPr>
        <w:pStyle w:val="Compact"/>
      </w:pPr>
      <w:r>
        <w:rPr>
          <w:bCs/>
          <w:b/>
        </w:rPr>
        <w:t xml:space="preserve">Logistics Optimization:</w:t>
      </w:r>
      <w:r>
        <w:t xml:space="preserve"> </w:t>
      </w:r>
      <w:r>
        <w:t xml:space="preserve">Investigate and implement strategies to reduce emissions from transportation, particularly last-mile delivery. This includes optimizing delivery routes, increasing vehicle load factors, exploring electric or alternative fuel vehicles, and localizing distribution centers.</w:t>
      </w:r>
    </w:p>
    <w:p>
      <w:pPr>
        <w:numPr>
          <w:ilvl w:val="0"/>
          <w:numId w:val="1022"/>
        </w:numPr>
        <w:pStyle w:val="Compact"/>
      </w:pPr>
      <w:r>
        <w:rPr>
          <w:bCs/>
          <w:b/>
        </w:rPr>
        <w:t xml:space="preserve">Energy Efficiency in Use:</w:t>
      </w:r>
      <w:r>
        <w:t xml:space="preserve"> </w:t>
      </w:r>
      <w:r>
        <w:t xml:space="preserve">Continue to innovate in product design to minimize energy consumption during the use phase. Provide users with information on sustainable usage and promote green energy adoption.</w:t>
      </w:r>
    </w:p>
    <w:p>
      <w:pPr>
        <w:numPr>
          <w:ilvl w:val="0"/>
          <w:numId w:val="1022"/>
        </w:numPr>
        <w:pStyle w:val="Compact"/>
      </w:pPr>
      <w:r>
        <w:rPr>
          <w:bCs/>
          <w:b/>
        </w:rPr>
        <w:t xml:space="preserve">Sustainable Sourcing:</w:t>
      </w:r>
      <w:r>
        <w:t xml:space="preserve"> </w:t>
      </w:r>
      <w:r>
        <w:t xml:space="preserve">Collaborate with suppliers to identify and procure lower-carbon materials for components like circuit boards and batteries. Explore opportunities for increased recycled content in components and packaging beyond the currently captured \'Total Carbon\' figures.</w:t>
      </w:r>
    </w:p>
    <w:p>
      <w:pPr>
        <w:numPr>
          <w:ilvl w:val="0"/>
          <w:numId w:val="1022"/>
        </w:numPr>
        <w:pStyle w:val="Compact"/>
      </w:pPr>
      <w:r>
        <w:rPr>
          <w:bCs/>
          <w:b/>
        </w:rPr>
        <w:t xml:space="preserve">Circular Economy Initiatives:</w:t>
      </w:r>
      <w:r>
        <w:t xml:space="preserve"> </w:t>
      </w:r>
      <w:r>
        <w:t xml:space="preserve">Enhance and expand circular/take-back programs (`txkhhnuxep`) to maximize material recovery and reuse, potentially increasing the avoided burden credits and reducing reliance on virgin materials.</w:t>
      </w:r>
    </w:p>
    <w:p>
      <w:pPr>
        <w:numPr>
          <w:ilvl w:val="0"/>
          <w:numId w:val="1022"/>
        </w:numPr>
        <w:pStyle w:val="Compact"/>
      </w:pPr>
      <w:r>
        <w:rPr>
          <w:bCs/>
          <w:b/>
        </w:rPr>
        <w:t xml:space="preserve">Data Improvement:</w:t>
      </w:r>
      <w:r>
        <w:t xml:space="preserve"> </w:t>
      </w:r>
      <w:r>
        <w:t xml:space="preserve">Continuously collect more specific, primary data from supply chain partners for emission factors and activity data to improve the accuracy and robustness of future PCF assessments.</w:t>
      </w:r>
    </w:p>
    <w:p>
      <w:r>
        <w:pict>
          <v:rect style="width:0;height:1.5pt" o:hralign="center" o:hrstd="t" o:hr="t"/>
        </w:pict>
      </w:r>
    </w:p>
    <w:bookmarkEnd w:id="49"/>
    <w:bookmarkEnd w:id="50"/>
    <w:bookmarkStart w:id="51" w:name="conclusion"/>
    <w:p>
      <w:pPr>
        <w:pStyle w:val="Heading2"/>
      </w:pPr>
      <w:r>
        <w:t xml:space="preserve">Conclusion</w:t>
      </w:r>
    </w:p>
    <w:p>
      <w:pPr>
        <w:pStyle w:val="FirstParagraph"/>
      </w:pPr>
      <w:r>
        <w:t xml:space="preserve">This Product Carbon Footprint analysis for \'slvomqsdtg\' provides pfzewzolwv with a foundational understanding of its environmental impact, totaling</w:t>
      </w:r>
      <w:r>
        <w:t xml:space="preserve"> </w:t>
      </w:r>
      <w:r>
        <w:rPr>
          <w:bCs/>
          <w:b/>
        </w:rPr>
        <w:t xml:space="preserve">37.723 kgCO2e per unit</w:t>
      </w:r>
      <w:r>
        <w:t xml:space="preserve">. The report highlights transportation, use-phase energy, and raw material acquisition as the primary emission drivers. By focusing on targeted interventions in these areas, pfzewzolwv can effectively reduce its product\'s carbon footprint, enhance its sustainability profile, and contribute to global decarbonization efforts in line with GHG Protocol principles and the evolving landscape of carbon accounting standards.</w:t>
      </w:r>
    </w:p>
    <w:bookmarkEnd w:id="51"/>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slvomqsdtg</dc:title>
  <dc:creator/>
  <dc:description>Detailed Product Carbon Footprint (PCF) analysis for slvomqsdtg, conducted by hdinxkivsd for pfzewzolwv, adhering to GHG Protocol standards and 2026 LSR update.</dc:description>
  <dc:language>en</dc:language>
  <cp:keywords/>
  <dcterms:created xsi:type="dcterms:W3CDTF">2026-07-15T12:45:01Z</dcterms:created>
  <dcterms:modified xsi:type="dcterms:W3CDTF">2026-07-15T12:45:01Z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