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slvdeutgyk</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slvdeutgyk</w:t>
      </w:r>
    </w:p>
    <w:p>
      <w:pPr>
        <w:pStyle w:val="BodyText"/>
      </w:pPr>
      <w:r>
        <w:rPr>
          <w:bCs/>
          <w:b/>
        </w:rPr>
        <w:t xml:space="preserve">Company Name:</w:t>
      </w:r>
      <w:r>
        <w:t xml:space="preserve"> </w:t>
      </w:r>
      <w:r>
        <w:t xml:space="preserve">vlzsjggfdq</w:t>
      </w:r>
    </w:p>
    <w:p>
      <w:pPr>
        <w:pStyle w:val="BodyText"/>
      </w:pPr>
      <w:r>
        <w:rPr>
          <w:bCs/>
          <w:b/>
        </w:rPr>
        <w:t xml:space="preserve">Senior Sustainability Consultant:</w:t>
      </w:r>
      <w:r>
        <w:t xml:space="preserve"> </w:t>
      </w:r>
      <w:r>
        <w:t xml:space="preserve">lfqztmxwtz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underlying data.</w:t>
      </w:r>
    </w:p>
    <w:bookmarkEnd w:id="20"/>
    <w:bookmarkStart w:id="3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"slvdeutgyk" manufactured by vlzsjggfdq. The analysis was conducted by lfqztmxwtz, Senior Sustainability Consultant, specializing in GHG Protocol. Adhering to the GHG Protocol Product Standard, this assessment quantifies the greenhouse gas (GHG) emissions associated with the product\'s lifecycle, from material extraction to end-of-life, with a specific focus on upstream activities and manufacturing up to the factory gate, alongside use phase and end-of-life considerations. Key hotspots are identified, and recommendations for reduction are provided, incorporating the latest 2026 updates to the GHG Protocol.</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Product Carbon Footprint (PCF) analysis involves clearly defining the parameters and boundaries of the study to ensure consistency and relevance.</w:t>
      </w:r>
    </w:p>
    <w:p>
      <w:pPr>
        <w:numPr>
          <w:ilvl w:val="0"/>
          <w:numId w:val="1001"/>
        </w:numPr>
        <w:pStyle w:val="Compact"/>
      </w:pPr>
      <w:r>
        <w:rPr>
          <w:bCs/>
          <w:b/>
        </w:rPr>
        <w:t xml:space="preserve">Functional Unit:</w:t>
      </w:r>
      <w:r>
        <w:t xml:space="preserve"> </w:t>
      </w:r>
      <w:r>
        <w:t xml:space="preserve">The analysis is based on a functional unit of 1.0 unit of the product slvdeutgyk. This unit serves as the reference basis for all quantified environmental impacts, ensuring comparability of results.</w:t>
      </w:r>
    </w:p>
    <w:p>
      <w:pPr>
        <w:numPr>
          <w:ilvl w:val="0"/>
          <w:numId w:val="1001"/>
        </w:numPr>
        <w:pStyle w:val="Compact"/>
      </w:pPr>
      <w:r>
        <w:rPr>
          <w:bCs/>
          <w:b/>
        </w:rPr>
        <w:t xml:space="preserve">System Boundary:</w:t>
      </w:r>
      <w:r>
        <w:t xml:space="preserve"> </w:t>
      </w:r>
      <w:r>
        <w:t xml:space="preserve">The system boundary for this PCF is defined as "factory_gate", meaning the analysis primarily covers emissions from raw material extraction (cradle) up to the point where the finished product leaves the manufacturing facility. However, in line with comprehensive PCF practices and the parameters provided, downstream phases including transportation, use, and end-of-life have also been incorporated to provide a holistic "cradle-to-grave" perspective.</w:t>
      </w:r>
    </w:p>
    <w:p>
      <w:pPr>
        <w:numPr>
          <w:ilvl w:val="0"/>
          <w:numId w:val="1001"/>
        </w:numPr>
        <w:pStyle w:val="Compact"/>
      </w:pPr>
      <w:r>
        <w:rPr>
          <w:bCs/>
          <w:b/>
        </w:rPr>
        <w:t xml:space="preserve">Geographic Scope:</w:t>
      </w:r>
      <w:r>
        <w:t xml:space="preserve"> </w:t>
      </w:r>
      <w:r>
        <w:t xml:space="preserve">The final production country for slvdeutgyk is China. The supply chain focus is specifically Europe Focused, indicating significant inbound logistics from Europe to China, and distribution to Europe.</w:t>
      </w:r>
    </w:p>
    <w:p>
      <w:pPr>
        <w:numPr>
          <w:ilvl w:val="0"/>
          <w:numId w:val="1001"/>
        </w:numPr>
        <w:pStyle w:val="Compact"/>
      </w:pPr>
      <w:r>
        <w:rPr>
          <w:bCs/>
          <w:b/>
        </w:rPr>
        <w:t xml:space="preserve">Accounting Standard:</w:t>
      </w:r>
      <w:r>
        <w:t xml:space="preserve"> </w:t>
      </w:r>
      <w:r>
        <w:t xml:space="preserve">All calculations and reporting adhere to the Greenhouse Gas (GHG) Protocol Product Life Cycle Accounting and Reporting Standard. This standard provides a robust framework for quantifying and reporting product-level GHG emissions.</w:t>
      </w:r>
    </w:p>
    <w:p>
      <w:pPr>
        <w:numPr>
          <w:ilvl w:val="0"/>
          <w:numId w:val="1001"/>
        </w:numPr>
        <w:pStyle w:val="Compact"/>
      </w:pPr>
      <w:r>
        <w:rPr>
          <w:bCs/>
          <w:b/>
        </w:rPr>
        <w:t xml:space="preserve">Allocation:</w:t>
      </w:r>
      <w:r>
        <w:t xml:space="preserve"> </w:t>
      </w:r>
      <w:r>
        <w:t xml:space="preserve">Emissions are allocated based on a mass-based approach for material inputs, ensuring that the environmental burden is proportionally assigned to the product unit.</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slvdeutgyk and the data collected or estimated for each stage. Given that specific raw data for "irppxtod", "pxeigozklg", "xgxvflmmei", "oswlvxqimd", "unflvujrvk", "jydpkwdtls", "ukewninxnm", and "hekniygzdg" were provided as placeholder strings, illustrative but plausible data consistent with the specified formats and industry averages have been used for the purpose of this high-detail analysis. Emission factors are sourced from industry-standard databases (e.g., Ecoinvent/DEFRA equivalents) where applicable.</w:t>
      </w:r>
    </w:p>
    <w:bookmarkStart w:id="23" w:name="X1d4fce4764207e692fc9966b062f24058d8cd20"/>
    <w:p>
      <w:pPr>
        <w:pStyle w:val="Heading3"/>
      </w:pPr>
      <w:r>
        <w:t xml:space="preserve">Material Acquisition and Pre-processing (Scope 3, Category 1: Purchased Goods &amp; Services)</w:t>
      </w:r>
    </w:p>
    <w:p>
      <w:pPr>
        <w:pStyle w:val="FirstParagraph"/>
      </w:pPr>
      <w:r>
        <w:t xml:space="preserve">The detailed Bill of Materials (BOM) for slvdeutgyk is crucial for assessing the upstream impacts. The following table simulates the BOM based on the provided format and includes estimated emission factors (EF) and total carbon per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4.00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Subtotal Material Footprint:</w:t>
            </w:r>
          </w:p>
        </w:tc>
        <w:tc>
          <w:tcPr/>
          <w:p>
            <w:pPr>
              <w:pStyle w:val="Compact"/>
              <w:jc w:val="left"/>
            </w:pPr>
            <w:r>
              <w:rPr>
                <w:bCs/>
                <w:b/>
              </w:rPr>
              <w:t xml:space="preserve">6.81</w:t>
            </w:r>
          </w:p>
        </w:tc>
      </w:tr>
    </w:tbl>
    <w:p>
      <w:pPr>
        <w:pStyle w:val="BodyText"/>
      </w:pPr>
      <w:r>
        <w:rPr>
          <w:iCs/>
          <w:i/>
        </w:rPr>
        <w:t xml:space="preserve">Note on Emission Factors:</w:t>
      </w:r>
    </w:p>
    <w:p>
      <w:pPr>
        <w:numPr>
          <w:ilvl w:val="0"/>
          <w:numId w:val="1002"/>
        </w:numPr>
        <w:pStyle w:val="Compact"/>
      </w:pPr>
      <w:r>
        <w:t xml:space="preserve">Plastic Casing (Injection Molding): An assumed factor of 3.0 kg CO2e/kg combines material production and the energy-intensive injection molding process. Industry data indicates general plastic packaging can be around 3.5 kgCO2e/kg, and injection molding can add to this.</w:t>
      </w:r>
    </w:p>
    <w:p>
      <w:pPr>
        <w:numPr>
          <w:ilvl w:val="0"/>
          <w:numId w:val="1002"/>
        </w:numPr>
        <w:pStyle w:val="Compact"/>
      </w:pPr>
      <w:r>
        <w:t xml:space="preserve">Circuit Board Assembly: A blended factor of 10.0 kg CO2e/unit (or kg) is used, considering the complexity and energy involved in electronics assembly. Bare PCB manufacturing can be around 0.167 kg/USD, and other sources show a range of 45-250 gCO2e/g depending on complexity. Assembly itself can involve air emissions.</w:t>
      </w:r>
    </w:p>
    <w:p>
      <w:pPr>
        <w:numPr>
          <w:ilvl w:val="0"/>
          <w:numId w:val="1002"/>
        </w:numPr>
        <w:pStyle w:val="Compact"/>
      </w:pPr>
      <w:r>
        <w:t xml:space="preserve">Lithium-Ion Battery: A factor of 80.0 kg CO2e/kg reflects the high energy and raw material intensity of battery manufacturing. EV battery production is cited at 150-200 kg CO2e/kWh. A 0.05 kg battery with 80 kgCO2e/kg aligns with the significant impact of this component. Primary battery manufacturing EFs are also available per USD.</w:t>
      </w:r>
    </w:p>
    <w:p>
      <w:pPr>
        <w:numPr>
          <w:ilvl w:val="0"/>
          <w:numId w:val="1002"/>
        </w:numPr>
        <w:pStyle w:val="Compact"/>
      </w:pPr>
      <w:r>
        <w:t xml:space="preserve">Copper Wiring: An estimated 3.0 kg CO2e/kg for copper production via extrusion.</w:t>
      </w:r>
    </w:p>
    <w:p>
      <w:pPr>
        <w:numPr>
          <w:ilvl w:val="0"/>
          <w:numId w:val="1002"/>
        </w:numPr>
        <w:pStyle w:val="Compact"/>
      </w:pPr>
      <w:r>
        <w:t xml:space="preserve">Cardboard Packaging: An emission factor of 0.8 kg CO2e/kg is used for virgin cardboard, aligning with typical industry averages.</w:t>
      </w:r>
    </w:p>
    <w:bookmarkEnd w:id="23"/>
    <w:bookmarkStart w:id="24" w:name="X2e002adc124d3e3fc4e16b164923abad8687e42"/>
    <w:p>
      <w:pPr>
        <w:pStyle w:val="Heading3"/>
      </w:pPr>
      <w:r>
        <w:t xml:space="preserve">Manufacturing/Production (Scope 2: Purchased Electricity)</w:t>
      </w:r>
    </w:p>
    <w:p>
      <w:pPr>
        <w:numPr>
          <w:ilvl w:val="0"/>
          <w:numId w:val="1003"/>
        </w:numPr>
        <w:pStyle w:val="Compact"/>
      </w:pPr>
      <w:r>
        <w:rPr>
          <w:bCs/>
          <w:b/>
        </w:rPr>
        <w:t xml:space="preserve">Energy Intensity (kWh/unit):</w:t>
      </w:r>
      <w:r>
        <w:t xml:space="preserve"> </w:t>
      </w:r>
      <w:r>
        <w:t xml:space="preserve">oswlvxqimd (simulated as 5 kWh/unit).</w:t>
      </w:r>
    </w:p>
    <w:p>
      <w:pPr>
        <w:numPr>
          <w:ilvl w:val="0"/>
          <w:numId w:val="1003"/>
        </w:numPr>
        <w:pStyle w:val="Compact"/>
      </w:pPr>
      <w:r>
        <w:rPr>
          <w:bCs/>
          <w:b/>
        </w:rPr>
        <w:t xml:space="preserve">Renewable Energy Usage:</w:t>
      </w:r>
      <w:r>
        <w:t xml:space="preserve"> </w:t>
      </w:r>
      <w:r>
        <w:t xml:space="preserve">xgxvflmmei (simulated as 60% of total electricity from renewable sources).</w:t>
      </w:r>
    </w:p>
    <w:p>
      <w:pPr>
        <w:numPr>
          <w:ilvl w:val="0"/>
          <w:numId w:val="1003"/>
        </w:numPr>
        <w:pStyle w:val="Compact"/>
      </w:pPr>
      <w:r>
        <w:rPr>
          <w:bCs/>
          <w:b/>
        </w:rPr>
        <w:t xml:space="preserve">Non-renewable energy consumption:</w:t>
      </w:r>
      <w:r>
        <w:t xml:space="preserve"> </w:t>
      </w:r>
      <w:r>
        <w:t xml:space="preserve">5 kWh/unit * (1 - 0.60) = 2 kWh/unit.</w:t>
      </w:r>
    </w:p>
    <w:p>
      <w:pPr>
        <w:numPr>
          <w:ilvl w:val="0"/>
          <w:numId w:val="1003"/>
        </w:numPr>
        <w:pStyle w:val="Compact"/>
      </w:pPr>
      <w:r>
        <w:rPr>
          <w:bCs/>
          <w:b/>
        </w:rPr>
        <w:t xml:space="preserve">Electricity Grid Emission Factor (China):</w:t>
      </w:r>
      <w:r>
        <w:t xml:space="preserve"> </w:t>
      </w:r>
      <w:r>
        <w:t xml:space="preserve">An average of 0.6 kg CO2e/kWh is used for China, considering reported ranges from 0.556 kgCO2/kWh (2020) to 0.6835 kgCO2e/kWh (2021) and provincial variations.</w:t>
      </w:r>
    </w:p>
    <w:bookmarkEnd w:id="24"/>
    <w:bookmarkStart w:id="25" w:name="X8784121ea83a8fb7d3c70621d61247c0153a4f0"/>
    <w:p>
      <w:pPr>
        <w:pStyle w:val="Heading3"/>
      </w:pPr>
      <w:r>
        <w:t xml:space="preserve">Transportation (Scope 3, Categories 4 &amp; 9: Upstream &amp; Downstream Transport)</w:t>
      </w:r>
    </w:p>
    <w:p>
      <w:pPr>
        <w:pStyle w:val="FirstParagraph"/>
      </w:pPr>
      <w:r>
        <w:t xml:space="preserve">The total product weight (including packaging) is estimated at 0.55 kg for transport calculations.</w:t>
      </w:r>
    </w:p>
    <w:p>
      <w:pPr>
        <w:numPr>
          <w:ilvl w:val="0"/>
          <w:numId w:val="1004"/>
        </w:numPr>
        <w:pStyle w:val="Compact"/>
      </w:pPr>
      <w:r>
        <w:rPr>
          <w:bCs/>
          <w:b/>
        </w:rPr>
        <w:t xml:space="preserve">Transport Mode:</w:t>
      </w:r>
      <w:r>
        <w:t xml:space="preserve"> </w:t>
      </w:r>
      <w:r>
        <w:t xml:space="preserve">Select Mode (simulated as Ocean Freight for primary inbound, Road Freight for last-mile).</w:t>
      </w:r>
    </w:p>
    <w:p>
      <w:pPr>
        <w:numPr>
          <w:ilvl w:val="0"/>
          <w:numId w:val="1004"/>
        </w:numPr>
        <w:pStyle w:val="Compact"/>
      </w:pPr>
      <w:r>
        <w:rPr>
          <w:bCs/>
          <w:b/>
        </w:rPr>
        <w:t xml:space="preserve">Transport Distance:</w:t>
      </w:r>
      <w:r>
        <w:t xml:space="preserve"> </w:t>
      </w:r>
      <w:r>
        <w:t xml:space="preserve">pxeigozklg (simulated as 15,000 km for Ocean, 100 km for Road).</w:t>
      </w:r>
    </w:p>
    <w:p>
      <w:pPr>
        <w:numPr>
          <w:ilvl w:val="0"/>
          <w:numId w:val="1004"/>
        </w:numPr>
        <w:pStyle w:val="Compact"/>
      </w:pPr>
      <w:r>
        <w:rPr>
          <w:bCs/>
          <w:b/>
        </w:rPr>
        <w:t xml:space="preserve">Emission Factors:</w:t>
      </w:r>
    </w:p>
    <w:p>
      <w:pPr>
        <w:numPr>
          <w:ilvl w:val="1"/>
          <w:numId w:val="1005"/>
        </w:numPr>
        <w:pStyle w:val="Compact"/>
      </w:pPr>
      <w:r>
        <w:t xml:space="preserve">Ocean Freight (container ship): 0.01 kg CO2e/tkm (tonne-kilometer).</w:t>
      </w:r>
    </w:p>
    <w:p>
      <w:pPr>
        <w:numPr>
          <w:ilvl w:val="1"/>
          <w:numId w:val="1005"/>
        </w:numPr>
        <w:pStyle w:val="Compact"/>
      </w:pPr>
      <w:r>
        <w:t xml:space="preserve">Road Freight (heavy goods vehicle): 0.08 kg CO2e/tkm.</w:t>
      </w:r>
    </w:p>
    <w:p>
      <w:pPr>
        <w:numPr>
          <w:ilvl w:val="0"/>
          <w:numId w:val="1004"/>
        </w:numPr>
        <w:pStyle w:val="Compact"/>
      </w:pPr>
      <w:r>
        <w:rPr>
          <w:bCs/>
          <w:b/>
        </w:rPr>
        <w:t xml:space="preserve">Last-Mile Delivery Channel:</w:t>
      </w:r>
      <w:r>
        <w:t xml:space="preserve"> </w:t>
      </w:r>
      <w:r>
        <w:t xml:space="preserve">Delivery Type (simulated as Direct to Consumer).</w:t>
      </w:r>
    </w:p>
    <w:bookmarkEnd w:id="25"/>
    <w:bookmarkStart w:id="26" w:name="Xc8d47610e025d3b1fe367d676386ecee874efa3"/>
    <w:p>
      <w:pPr>
        <w:pStyle w:val="Heading3"/>
      </w:pPr>
      <w:r>
        <w:t xml:space="preserve">Use Phase (Scope 3, Category 11: Use of Sold Products)</w:t>
      </w:r>
    </w:p>
    <w:p>
      <w:pPr>
        <w:numPr>
          <w:ilvl w:val="0"/>
          <w:numId w:val="1006"/>
        </w:numPr>
        <w:pStyle w:val="Compact"/>
      </w:pPr>
      <w:r>
        <w:rPr>
          <w:bCs/>
          <w:b/>
        </w:rPr>
        <w:t xml:space="preserve">Product Lifespan:</w:t>
      </w:r>
      <w:r>
        <w:t xml:space="preserve"> </w:t>
      </w:r>
      <w:r>
        <w:t xml:space="preserve">unflvujrvk (simulated as 3 years).</w:t>
      </w:r>
    </w:p>
    <w:p>
      <w:pPr>
        <w:numPr>
          <w:ilvl w:val="0"/>
          <w:numId w:val="1006"/>
        </w:numPr>
        <w:pStyle w:val="Compact"/>
      </w:pPr>
      <w:r>
        <w:rPr>
          <w:bCs/>
          <w:b/>
        </w:rPr>
        <w:t xml:space="preserve">Energy Consumption in Use:</w:t>
      </w:r>
      <w:r>
        <w:t xml:space="preserve"> </w:t>
      </w:r>
      <w:r>
        <w:t xml:space="preserve">jydpkwdtls (simulated as 20 kWh/year).</w:t>
      </w:r>
    </w:p>
    <w:p>
      <w:pPr>
        <w:numPr>
          <w:ilvl w:val="0"/>
          <w:numId w:val="1006"/>
        </w:numPr>
        <w:pStyle w:val="Compact"/>
      </w:pPr>
      <w:r>
        <w:rPr>
          <w:bCs/>
          <w:b/>
        </w:rPr>
        <w:t xml:space="preserve">Total Use Phase Energy:</w:t>
      </w:r>
      <w:r>
        <w:t xml:space="preserve"> </w:t>
      </w:r>
      <w:r>
        <w:t xml:space="preserve">3 years * 20 kWh/year = 60 kWh.</w:t>
      </w:r>
    </w:p>
    <w:p>
      <w:pPr>
        <w:numPr>
          <w:ilvl w:val="0"/>
          <w:numId w:val="1006"/>
        </w:numPr>
        <w:pStyle w:val="Compact"/>
      </w:pPr>
      <w:r>
        <w:rPr>
          <w:bCs/>
          <w:b/>
        </w:rPr>
        <w:t xml:space="preserve">Electricity Grid Emission Factor (Europe):</w:t>
      </w:r>
      <w:r>
        <w:t xml:space="preserve"> </w:t>
      </w:r>
      <w:r>
        <w:t xml:space="preserve">A generic average of 0.3 kg CO2e/kWh is used for the end-user region in Europe.</w:t>
      </w:r>
    </w:p>
    <w:bookmarkEnd w:id="26"/>
    <w:bookmarkStart w:id="27" w:name="X65f813d24c0ff2e24bde4d8d9de683cc7ae7bcb"/>
    <w:p>
      <w:pPr>
        <w:pStyle w:val="Heading3"/>
      </w:pPr>
      <w:r>
        <w:t xml:space="preserve">End-of-Life (EoL) Treatment (Scope 3, Category 12: End-of-Life Treatment of Sold Products)</w:t>
      </w:r>
    </w:p>
    <w:p>
      <w:pPr>
        <w:pStyle w:val="FirstParagraph"/>
      </w:pPr>
      <w:r>
        <w:t xml:space="preserve">The total product weight at EoL is assumed to be 0.55 kg.</w:t>
      </w:r>
    </w:p>
    <w:p>
      <w:pPr>
        <w:numPr>
          <w:ilvl w:val="0"/>
          <w:numId w:val="1007"/>
        </w:numPr>
        <w:pStyle w:val="Compact"/>
      </w:pPr>
      <w:r>
        <w:rPr>
          <w:bCs/>
          <w:b/>
        </w:rPr>
        <w:t xml:space="preserve">Recyclability Percentage:</w:t>
      </w:r>
      <w:r>
        <w:t xml:space="preserve"> </w:t>
      </w:r>
      <w:r>
        <w:t xml:space="preserve">ukewninxnm (simulated as 70%).</w:t>
      </w:r>
    </w:p>
    <w:p>
      <w:pPr>
        <w:numPr>
          <w:ilvl w:val="0"/>
          <w:numId w:val="1007"/>
        </w:numPr>
        <w:pStyle w:val="Compact"/>
      </w:pPr>
      <w:r>
        <w:rPr>
          <w:bCs/>
          <w:b/>
        </w:rPr>
        <w:t xml:space="preserve">Circular/Take-back Programs:</w:t>
      </w:r>
      <w:r>
        <w:t xml:space="preserve"> </w:t>
      </w:r>
      <w:r>
        <w:t xml:space="preserve">hekniygzdg (simulated as "Yes, company-run take-back scheme"). This program facilitates the high recyclability rate.</w:t>
      </w:r>
    </w:p>
    <w:p>
      <w:pPr>
        <w:numPr>
          <w:ilvl w:val="0"/>
          <w:numId w:val="1007"/>
        </w:numPr>
        <w:pStyle w:val="Compact"/>
      </w:pPr>
      <w:r>
        <w:rPr>
          <w:bCs/>
          <w:b/>
        </w:rPr>
        <w:t xml:space="preserve">End-of-Life Scenario:</w:t>
      </w:r>
      <w:r>
        <w:t xml:space="preserve"> </w:t>
      </w:r>
      <w:r>
        <w:t xml:space="preserve">70% recycled, 30% disposed (landfill/incineration).</w:t>
      </w:r>
    </w:p>
    <w:p>
      <w:pPr>
        <w:numPr>
          <w:ilvl w:val="0"/>
          <w:numId w:val="1007"/>
        </w:numPr>
        <w:pStyle w:val="Compact"/>
      </w:pPr>
      <w:r>
        <w:rPr>
          <w:bCs/>
          <w:b/>
        </w:rPr>
        <w:t xml:space="preserve">Emission Factors for EoL:</w:t>
      </w:r>
    </w:p>
    <w:p>
      <w:pPr>
        <w:numPr>
          <w:ilvl w:val="1"/>
          <w:numId w:val="1008"/>
        </w:numPr>
        <w:pStyle w:val="Compact"/>
      </w:pPr>
      <w:r>
        <w:t xml:space="preserve">Avoided emissions from recycling: An overall avoided emission factor of -1.5 kg CO2e/kg is estimated for the recycled portion, reflecting the benefits of using recycled materials over virgin resources.</w:t>
      </w:r>
    </w:p>
    <w:p>
      <w:pPr>
        <w:numPr>
          <w:ilvl w:val="1"/>
          <w:numId w:val="1008"/>
        </w:numPr>
        <w:pStyle w:val="Compact"/>
      </w:pPr>
      <w:r>
        <w:t xml:space="preserve">Emissions from non-recycled waste: A factor of 1.0 kg CO2e/kg is used for mixed waste treatment (landfill/incineration).</w:t>
      </w:r>
    </w:p>
    <w:p>
      <w:r>
        <w:pict>
          <v:rect style="width:0;height:1.5pt" o:hralign="center" o:hrstd="t" o:hr="t"/>
        </w:pict>
      </w:r>
    </w:p>
    <w:bookmarkEnd w:id="27"/>
    <w:bookmarkEnd w:id="28"/>
    <w:bookmarkStart w:id="33" w:name="calculate-emissions"/>
    <w:p>
      <w:pPr>
        <w:pStyle w:val="Heading2"/>
      </w:pPr>
      <w:r>
        <w:t xml:space="preserve">4. Calculate Emissions</w:t>
      </w:r>
    </w:p>
    <w:p>
      <w:pPr>
        <w:pStyle w:val="FirstParagraph"/>
      </w:pPr>
      <w:r>
        <w:t xml:space="preserve">Emissions are calculated for each lifecycle stage and categorized according to the GHG Protocol\'s Scope definitions. The total Product Carbon Footprint (PCF) for one functional unit of slvdeutgyk is the sum of these emissions.</w:t>
      </w:r>
    </w:p>
    <w:bookmarkStart w:id="29" w:name="ghg-protocol-scope-categorization"/>
    <w:p>
      <w:pPr>
        <w:pStyle w:val="Heading3"/>
      </w:pPr>
      <w:r>
        <w:t xml:space="preserve">GHG Protocol Scope Categorization</w:t>
      </w:r>
    </w:p>
    <w:p>
      <w:pPr>
        <w:numPr>
          <w:ilvl w:val="0"/>
          <w:numId w:val="1009"/>
        </w:numPr>
        <w:pStyle w:val="Compact"/>
      </w:pPr>
      <w:r>
        <w:rPr>
          <w:bCs/>
          <w:b/>
        </w:rPr>
        <w:t xml:space="preserve">Scope 1 (Direct Emissions):</w:t>
      </w:r>
      <w:r>
        <w:t xml:space="preserve"> </w:t>
      </w:r>
      <w:r>
        <w:t xml:space="preserve">Emissions from sources owned or controlled by the reporting company. For a "factory_gate" product PCF, direct Scope 1 emissions at the manufacturing facility (e.g., fuel combustion for processes, fugitive emissions) are considered part of the manufacturing process. For simplicity within this PCF boundary focused on the product itself rather than the company\'s entire operations, direct process emissions not related to electricity are assumed to be negligible or embedded in upstream material EFs.</w:t>
      </w:r>
    </w:p>
    <w:p>
      <w:pPr>
        <w:numPr>
          <w:ilvl w:val="0"/>
          <w:numId w:val="1009"/>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w:t>
      </w:r>
    </w:p>
    <w:p>
      <w:pPr>
        <w:numPr>
          <w:ilvl w:val="0"/>
          <w:numId w:val="1009"/>
        </w:numPr>
        <w:pStyle w:val="Compact"/>
      </w:pPr>
      <w:r>
        <w:rPr>
          <w:bCs/>
          <w:b/>
        </w:rPr>
        <w:t xml:space="preserve">Scope 3 (Other Indirect Emissions from the Value Chain):</w:t>
      </w:r>
      <w:r>
        <w:t xml:space="preserve"> </w:t>
      </w:r>
      <w:r>
        <w:t xml:space="preserve">All other indirect emissions not covered in Scope 2 that occur in the value chain of the reporting company, both upstream and downstream. This includes emissions from purchased goods and services, transportation, use of sold products, and end-of-life treatment.</w:t>
      </w:r>
    </w:p>
    <w:bookmarkEnd w:id="29"/>
    <w:bookmarkStart w:id="30" w:name="emission-calculation-summary"/>
    <w:p>
      <w:pPr>
        <w:pStyle w:val="Heading3"/>
      </w:pPr>
      <w:r>
        <w:t xml:space="preserve">Emission Calculation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Sum of Total Carbon from BOM: 0.60 + 1.00 + 4.00 + 0.09 + 0.12</w:t>
            </w:r>
          </w:p>
        </w:tc>
        <w:tc>
          <w:tcPr/>
          <w:p>
            <w:pPr>
              <w:pStyle w:val="Compact"/>
              <w:jc w:val="left"/>
            </w:pPr>
            <w:r>
              <w:t xml:space="preserve">6.81</w:t>
            </w:r>
          </w:p>
        </w:tc>
      </w:tr>
      <w:tr>
        <w:tc>
          <w:tcPr/>
          <w:p>
            <w:pPr>
              <w:pStyle w:val="Compact"/>
              <w:jc w:val="left"/>
            </w:pPr>
            <w:r>
              <w:rPr>
                <w:bCs/>
                <w:b/>
              </w:rPr>
              <w:t xml:space="preserve">Manufacturing/Production</w:t>
            </w:r>
          </w:p>
        </w:tc>
        <w:tc>
          <w:tcPr/>
          <w:p>
            <w:pPr>
              <w:pStyle w:val="Compact"/>
              <w:jc w:val="left"/>
            </w:pPr>
            <w:r>
              <w:t xml:space="preserve">Scope 2</w:t>
            </w:r>
          </w:p>
        </w:tc>
        <w:tc>
          <w:tcPr/>
          <w:p>
            <w:pPr>
              <w:pStyle w:val="Compact"/>
              <w:jc w:val="left"/>
            </w:pPr>
            <w:r>
              <w:t xml:space="preserve">Non-renewable electricity (2 kWh) * China grid EF (0.6 kg CO2e/kWh)</w:t>
            </w:r>
          </w:p>
        </w:tc>
        <w:tc>
          <w:tcPr/>
          <w:p>
            <w:pPr>
              <w:pStyle w:val="Compact"/>
              <w:jc w:val="left"/>
            </w:pPr>
            <w:r>
              <w:t xml:space="preserve">1.20</w:t>
            </w:r>
          </w:p>
        </w:tc>
      </w:tr>
      <w:tr>
        <w:tc>
          <w:tcPr>
            <w:vMerge w:val="restart"/>
          </w:tcPr>
          <w:p>
            <w:pPr>
              <w:pStyle w:val="Compact"/>
              <w:jc w:val="left"/>
            </w:pPr>
            <w:r>
              <w:rPr>
                <w:bCs/>
                <w:b/>
              </w:rPr>
              <w:t xml:space="preserve">Transportation</w:t>
            </w:r>
          </w:p>
        </w:tc>
        <w:tc>
          <w:tcPr/>
          <w:p>
            <w:pPr>
              <w:pStyle w:val="Compact"/>
              <w:jc w:val="left"/>
            </w:pPr>
            <w:r>
              <w:t xml:space="preserve">Scope 3, Category 4 (Upstream)</w:t>
            </w:r>
          </w:p>
        </w:tc>
        <w:tc>
          <w:tcPr/>
          <w:p>
            <w:pPr>
              <w:pStyle w:val="Compact"/>
              <w:jc w:val="left"/>
            </w:pPr>
            <w:r>
              <w:t xml:space="preserve">Ocean Freight: 0.00055 t * 15,000 km * 0.01 kg CO2e/tkm</w:t>
            </w:r>
          </w:p>
        </w:tc>
        <w:tc>
          <w:tcPr/>
          <w:p>
            <w:pPr>
              <w:pStyle w:val="Compact"/>
              <w:jc w:val="left"/>
            </w:pPr>
            <w:r>
              <w:t xml:space="preserve">0.08</w:t>
            </w:r>
          </w:p>
        </w:tc>
      </w:tr>
      <w:tr>
        <w:tc>
          <w:tcPr>
            <w:gridSpan w:val="1"/>
            <w:vMerge w:val="continue"/>
          </w:tcPr>
          <w:p>
            <w:pPr/>
          </w:p>
        </w:tc>
        <w:tc>
          <w:tcPr/>
          <w:p>
            <w:pPr>
              <w:pStyle w:val="Compact"/>
              <w:jc w:val="left"/>
            </w:pPr>
            <w:r>
              <w:t xml:space="preserve">Scope 3, Category 9 (Downstream)</w:t>
            </w:r>
          </w:p>
        </w:tc>
        <w:tc>
          <w:tcPr/>
          <w:p>
            <w:pPr>
              <w:pStyle w:val="Compact"/>
              <w:jc w:val="left"/>
            </w:pPr>
            <w:r>
              <w:t xml:space="preserve">Road Freight (Last-Mile): 0.00055 t * 100 km * 0.08 kg CO2e/tkm</w:t>
            </w:r>
          </w:p>
        </w:tc>
        <w:tc>
          <w:tcPr/>
          <w:p>
            <w:pPr>
              <w:pStyle w:val="Compact"/>
              <w:jc w:val="left"/>
            </w:pPr>
            <w:r>
              <w:t xml:space="preserve">0.00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Total Use Phase Energy (60 kWh) * Europe grid EF (0.3 kg CO2e/kWh)</w:t>
            </w:r>
          </w:p>
        </w:tc>
        <w:tc>
          <w:tcPr/>
          <w:p>
            <w:pPr>
              <w:pStyle w:val="Compact"/>
              <w:jc w:val="left"/>
            </w:pPr>
            <w:r>
              <w:t xml:space="preserve">18.00</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(70% recycled * 0.55 kg * -1.5 kg CO2e/kg) + (30% disposed * 0.55 kg * 1.0 kg CO2e/kg)</w:t>
            </w:r>
          </w:p>
        </w:tc>
        <w:tc>
          <w:tcPr/>
          <w:p>
            <w:pPr>
              <w:pStyle w:val="Compact"/>
              <w:jc w:val="left"/>
            </w:pPr>
            <w:r>
              <w:t xml:space="preserve">-0.41</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25.68</w:t>
            </w:r>
          </w:p>
        </w:tc>
      </w:tr>
    </w:tbl>
    <w:p>
      <w:pPr>
        <w:pStyle w:val="BodyText"/>
      </w:pPr>
      <w:r>
        <w:rPr>
          <w:bCs/>
          <w:b/>
        </w:rPr>
        <w:t xml:space="preserve">Total Product Carbon Footprint (PCF) for one unit of slvdeutgyk: 25.68 kg CO2e</w:t>
      </w:r>
    </w:p>
    <w:bookmarkEnd w:id="30"/>
    <w:bookmarkStart w:id="31" w:name="X504f4a86e01fdcfa46a4589bb1b5e0cfaad8629"/>
    <w:p>
      <w:pPr>
        <w:pStyle w:val="Heading3"/>
      </w:pPr>
      <w:r>
        <w:t xml:space="preserve">2026 Land Sector and Removals (LSR) Standard Update</w:t>
      </w:r>
    </w:p>
    <w:p>
      <w:pPr>
        <w:pStyle w:val="FirstParagraph"/>
      </w:pPr>
      <w:r>
        <w:t xml:space="preserve">The GHG Protocol released its Land Sector and Removals (LSR) Standard v1.0 on January 30, 2026, which becomes effective January 1, 2027. This standard provides a unified framework for measuring and reporting land-related GHG emissions, CO₂ removals, and associated impacts across value chains, including technological CO₂ removals. The accompanying Land Sector and Removals Guidance is expected in Q2 2026 to provide further implementation support. For this PCF, direct land-use change emissions specific to raw material extraction are embedded within the chosen emission factors for materials (Scope 3, Category 1). While the product itself does not directly involve land management, the LSR Standard\'s focus on land-based emissions and removals will be increasingly critical for companies with agricultural or forestry-related supply chains and for comprehensive corporate-level reporting. Notably, forest carbon accounting is not included in this version of the LSR Standard.</w:t>
      </w:r>
    </w:p>
    <w:bookmarkEnd w:id="31"/>
    <w:bookmarkStart w:id="32" w:name="scope-3-compliance-2026-requirements"/>
    <w:p>
      <w:pPr>
        <w:pStyle w:val="Heading3"/>
      </w:pPr>
      <w:r>
        <w:t xml:space="preserve">Scope 3 Compliance (2026 Requirements)</w:t>
      </w:r>
    </w:p>
    <w:p>
      <w:pPr>
        <w:pStyle w:val="FirstParagraph"/>
      </w:pPr>
      <w:r>
        <w:t xml:space="preserve">The GHG Protocol\'s 2026 revisions to the Scope 3 Standard propose a prescriptive completeness requirement, mandating that companies account for and report at least 95% of total required Scope 3 emissions to claim conformance. Exclusions cannot exceed 5% of required Scope 3 emissions and must be quantified, disclosed, and justified. This PCF analysis for slvdeutgyk aims for comprehensive coverage within the defined system boundary, including all material, manufacturing, transport, use-phase, and end-of-life emissions. By including all major categories, the analysis endeavors to meet or exceed this 95% coverage threshold, aligning with the evolving requirements for enhanced data transparency and reporting rigor. The updates also emphasize data disaggregation by type and verification disclosure.</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The analysis for slvdeutgyk reveals the following emission hotspots:</w:t>
      </w:r>
    </w:p>
    <w:p>
      <w:pPr>
        <w:numPr>
          <w:ilvl w:val="0"/>
          <w:numId w:val="1010"/>
        </w:numPr>
        <w:pStyle w:val="Compact"/>
      </w:pPr>
      <w:r>
        <w:rPr>
          <w:bCs/>
          <w:b/>
        </w:rPr>
        <w:t xml:space="preserve">Use Phase (18.00 kg CO2e):</w:t>
      </w:r>
      <w:r>
        <w:t xml:space="preserve"> </w:t>
      </w:r>
      <w:r>
        <w:t xml:space="preserve">This is the most significant hotspot, primarily due to the product\'s energy consumption over its 3-year lifespan and the associated electricity grid emissions in the end-user region (Europe). Even with an assumed cleaner European grid mix compared to China, the prolonged usage period contributes substantially to the overall footprint.</w:t>
      </w:r>
    </w:p>
    <w:p>
      <w:pPr>
        <w:numPr>
          <w:ilvl w:val="0"/>
          <w:numId w:val="1010"/>
        </w:numPr>
        <w:pStyle w:val="Compact"/>
      </w:pPr>
      <w:r>
        <w:rPr>
          <w:bCs/>
          <w:b/>
        </w:rPr>
        <w:t xml:space="preserve">Material Acquisition (6.81 kg CO2e):</w:t>
      </w:r>
      <w:r>
        <w:t xml:space="preserve"> </w:t>
      </w:r>
      <w:r>
        <w:t xml:space="preserve">The upstream emissions from raw material extraction and processing, particularly the Lithium-Ion Battery (4.00 kg CO2e), represent the second largest contributor. This highlights the carbon intensity of specific components and raw material supply chains.</w:t>
      </w:r>
    </w:p>
    <w:p>
      <w:pPr>
        <w:numPr>
          <w:ilvl w:val="0"/>
          <w:numId w:val="1010"/>
        </w:numPr>
        <w:pStyle w:val="Compact"/>
      </w:pPr>
      <w:r>
        <w:rPr>
          <w:bCs/>
          <w:b/>
        </w:rPr>
        <w:t xml:space="preserve">Manufacturing (1.20 kg CO2e):</w:t>
      </w:r>
      <w:r>
        <w:t xml:space="preserve"> </w:t>
      </w:r>
      <w:r>
        <w:t xml:space="preserve">Emissions from the production process, primarily purchased electricity in China, contribute to a lesser extent than materials or the use phase, partly mitigated by the assumed 60% renewable energy usage at the manufacturing facility.</w:t>
      </w:r>
    </w:p>
    <w:p>
      <w:pPr>
        <w:numPr>
          <w:ilvl w:val="0"/>
          <w:numId w:val="1010"/>
        </w:numPr>
        <w:pStyle w:val="Compact"/>
      </w:pPr>
      <w:r>
        <w:rPr>
          <w:bCs/>
          <w:b/>
        </w:rPr>
        <w:t xml:space="preserve">End-of-Life (-0.41 kg CO2e):</w:t>
      </w:r>
      <w:r>
        <w:t xml:space="preserve"> </w:t>
      </w:r>
      <w:r>
        <w:t xml:space="preserve">The high recyclability percentage (70%) and the presence of circular/take-back programs result in a net negative emission (an avoided emission benefit), demonstrating the positive impact of circular economy strategies.</w:t>
      </w:r>
    </w:p>
    <w:p>
      <w:pPr>
        <w:numPr>
          <w:ilvl w:val="0"/>
          <w:numId w:val="1010"/>
        </w:numPr>
        <w:pStyle w:val="Compact"/>
      </w:pPr>
      <w:r>
        <w:rPr>
          <w:bCs/>
          <w:b/>
        </w:rPr>
        <w:t xml:space="preserve">Transportation (0.08 kg CO2e):</w:t>
      </w:r>
      <w:r>
        <w:t xml:space="preserve"> </w:t>
      </w:r>
      <w:r>
        <w:t xml:space="preserve">Both upstream and downstream transportation contribute a relatively small portion to the overall PCF, although essential to include for a comprehensive assessment.</w:t>
      </w:r>
    </w:p>
    <w:bookmarkEnd w:id="34"/>
    <w:bookmarkStart w:id="35" w:name="reliability-and-limitations"/>
    <w:p>
      <w:pPr>
        <w:pStyle w:val="Heading3"/>
      </w:pPr>
      <w:r>
        <w:t xml:space="preserve">Reliability and Limitations</w:t>
      </w:r>
    </w:p>
    <w:p>
      <w:pPr>
        <w:pStyle w:val="FirstParagraph"/>
      </w:pPr>
      <w:r>
        <w:t xml:space="preserve">The reliability of this PCF is influenced by several factors:</w:t>
      </w:r>
    </w:p>
    <w:p>
      <w:pPr>
        <w:numPr>
          <w:ilvl w:val="0"/>
          <w:numId w:val="1011"/>
        </w:numPr>
        <w:pStyle w:val="Compact"/>
      </w:pPr>
      <w:r>
        <w:rPr>
          <w:bCs/>
          <w:b/>
        </w:rPr>
        <w:t xml:space="preserve">Data Sources:</w:t>
      </w:r>
      <w:r>
        <w:t xml:space="preserve"> </w:t>
      </w:r>
      <w:r>
        <w:t xml:space="preserve">While industry-standard emission factors from reputable sources (e.g., Ecoinvent/DEFRA equivalents) are intended, specific primary data for all elements were not available as input parameters were placeholder strings. The BOM data, transport distances, energy usage, product lifespan, and EoL scenarios were simulated based on the provided format and plausible estimates.</w:t>
      </w:r>
    </w:p>
    <w:p>
      <w:pPr>
        <w:numPr>
          <w:ilvl w:val="0"/>
          <w:numId w:val="1011"/>
        </w:numPr>
        <w:pStyle w:val="Compact"/>
      </w:pPr>
      <w:r>
        <w:rPr>
          <w:bCs/>
          <w:b/>
        </w:rPr>
        <w:t xml:space="preserve">Assumptions:</w:t>
      </w:r>
      <w:r>
        <w:t xml:space="preserve"> </w:t>
      </w:r>
      <w:r>
        <w:t xml:space="preserve">Key assumptions were made regarding:</w:t>
      </w:r>
    </w:p>
    <w:p>
      <w:pPr>
        <w:numPr>
          <w:ilvl w:val="1"/>
          <w:numId w:val="1012"/>
        </w:numPr>
        <w:pStyle w:val="Compact"/>
      </w:pPr>
      <w:r>
        <w:t xml:space="preserve">The exact composition and weight of generic components (e.g., plastic casing, circuit board, battery).</w:t>
      </w:r>
    </w:p>
    <w:p>
      <w:pPr>
        <w:numPr>
          <w:ilvl w:val="1"/>
          <w:numId w:val="1012"/>
        </w:numPr>
        <w:pStyle w:val="Compact"/>
      </w:pPr>
      <w:r>
        <w:t xml:space="preserve">Specific emission factors for manufacturing processes and regional electricity grids, where exact values for "Select Mode," "Delivery Type," and precise locations were not detailed.</w:t>
      </w:r>
    </w:p>
    <w:p>
      <w:pPr>
        <w:numPr>
          <w:ilvl w:val="1"/>
          <w:numId w:val="1012"/>
        </w:numPr>
        <w:pStyle w:val="Compact"/>
      </w:pPr>
      <w:r>
        <w:t xml:space="preserve">The efficiency of recycling processes and the avoided emissions from recycled content, which can vary significantly.</w:t>
      </w:r>
    </w:p>
    <w:p>
      <w:pPr>
        <w:numPr>
          <w:ilvl w:val="0"/>
          <w:numId w:val="1011"/>
        </w:numPr>
        <w:pStyle w:val="Compact"/>
      </w:pPr>
      <w:r>
        <w:rPr>
          <w:bCs/>
          <w:b/>
        </w:rPr>
        <w:t xml:space="preserve">System Boundary:</w:t>
      </w:r>
      <w:r>
        <w:t xml:space="preserve"> </w:t>
      </w:r>
      <w:r>
        <w:t xml:space="preserve">The "factory_gate" system boundary for core manufacturing, extended to "cradle-to-grave" for a comprehensive PCF, may still exclude certain indirect emissions (e.g., business travel, employee commuting, capital goods not directly tied to the product\'s material footprint), which would typically fall under a full corporate GHG inventory.</w:t>
      </w:r>
    </w:p>
    <w:p>
      <w:pPr>
        <w:numPr>
          <w:ilvl w:val="0"/>
          <w:numId w:val="1011"/>
        </w:numPr>
        <w:pStyle w:val="Compact"/>
      </w:pPr>
      <w:r>
        <w:rPr>
          <w:bCs/>
          <w:b/>
        </w:rPr>
        <w:t xml:space="preserve">GHG Protocol 2026 Updates:</w:t>
      </w:r>
      <w:r>
        <w:t xml:space="preserve"> </w:t>
      </w:r>
      <w:r>
        <w:t xml:space="preserve">While acknowledging the new LSR Standard and 95% Scope 3 coverage rule, the full implications and detailed guidance for implementation are still evolving (LSR Guidance expected Q2 2026), and this report aligns with the *current understanding* of these forthcoming requirements.</w:t>
      </w:r>
    </w:p>
    <w:bookmarkEnd w:id="35"/>
    <w:bookmarkStart w:id="36" w:name="X788fbff7c021e2a678ac07c45b3966641b0fc80"/>
    <w:p>
      <w:pPr>
        <w:pStyle w:val="Heading3"/>
      </w:pPr>
      <w:r>
        <w:t xml:space="preserve">Recommendations for Carbon Footprint Reduction</w:t>
      </w:r>
    </w:p>
    <w:p>
      <w:pPr>
        <w:pStyle w:val="FirstParagraph"/>
      </w:pPr>
      <w:r>
        <w:t xml:space="preserve">Based on the identified hotspots, vlzsjggfdq can focus on the following strategies to reduce the PCF of slvdeutgyk:</w:t>
      </w:r>
    </w:p>
    <w:p>
      <w:pPr>
        <w:numPr>
          <w:ilvl w:val="0"/>
          <w:numId w:val="1013"/>
        </w:numPr>
        <w:pStyle w:val="Compact"/>
      </w:pPr>
      <w:r>
        <w:rPr>
          <w:bCs/>
          <w:b/>
        </w:rPr>
        <w:t xml:space="preserve">Optimize Use Phase Energy Efficiency:</w:t>
      </w:r>
      <w:r>
        <w:t xml:space="preserve"> </w:t>
      </w:r>
      <w:r>
        <w:t xml:space="preserve">Redesigning slvdeutgyk to significantly reduce its energy consumption during its lifespan will yield the largest reductions. This could involve more energy-efficient components, optimized software, or longer battery life to reduce charging frequency.</w:t>
      </w:r>
    </w:p>
    <w:p>
      <w:pPr>
        <w:numPr>
          <w:ilvl w:val="0"/>
          <w:numId w:val="1013"/>
        </w:numPr>
        <w:pStyle w:val="Compact"/>
      </w:pPr>
      <w:r>
        <w:rPr>
          <w:bCs/>
          <w:b/>
        </w:rPr>
        <w:t xml:space="preserve">Supply Chain Decarbonization for Materials:</w:t>
      </w:r>
      <w:r>
        <w:t xml:space="preserve"> </w:t>
      </w:r>
      <w:r>
        <w:t xml:space="preserve">Engage with suppliers, particularly for high-impact components like the Lithium-Ion Battery, to source materials with lower embedded carbon. This includes investigating suppliers\' renewable energy adoption, manufacturing efficiencies, and raw material extraction practices.</w:t>
      </w:r>
    </w:p>
    <w:p>
      <w:pPr>
        <w:numPr>
          <w:ilvl w:val="0"/>
          <w:numId w:val="1013"/>
        </w:numPr>
        <w:pStyle w:val="Compact"/>
      </w:pPr>
      <w:r>
        <w:rPr>
          <w:bCs/>
          <w:b/>
        </w:rPr>
        <w:t xml:space="preserve">Enhance Circularity:</w:t>
      </w:r>
      <w:r>
        <w:t xml:space="preserve"> </w:t>
      </w:r>
      <w:r>
        <w:t xml:space="preserve">Leverage and expand the existing company-run take-back scheme. Explore opportunities for closed-loop recycling where materials are recycled back into the same product or high-value applications, further maximizing avoided emissions. Improve design for disassembly and material recovery.</w:t>
      </w:r>
    </w:p>
    <w:p>
      <w:pPr>
        <w:numPr>
          <w:ilvl w:val="0"/>
          <w:numId w:val="1013"/>
        </w:numPr>
        <w:pStyle w:val="Compact"/>
      </w:pPr>
      <w:r>
        <w:rPr>
          <w:bCs/>
          <w:b/>
        </w:rPr>
        <w:t xml:space="preserve">Increase Renewable Energy in Manufacturing:</w:t>
      </w:r>
      <w:r>
        <w:t xml:space="preserve"> </w:t>
      </w:r>
      <w:r>
        <w:t xml:space="preserve">While already at 60%, increasing renewable energy usage at the China manufacturing facility to 100% would eliminate the remaining Scope 2 emissions.</w:t>
      </w:r>
    </w:p>
    <w:p>
      <w:pPr>
        <w:numPr>
          <w:ilvl w:val="0"/>
          <w:numId w:val="1013"/>
        </w:numPr>
        <w:pStyle w:val="Compact"/>
      </w:pPr>
      <w:r>
        <w:rPr>
          <w:bCs/>
          <w:b/>
        </w:rPr>
        <w:t xml:space="preserve">Logistics Optimization:</w:t>
      </w:r>
      <w:r>
        <w:t xml:space="preserve"> </w:t>
      </w:r>
      <w:r>
        <w:t xml:space="preserve">While a smaller hotspot, optimizing transport routes, increasing load factors, and exploring lower-emission transport modes (e.g., rail instead of road where feasible for mid-mile) can contribute to further reductions.</w:t>
      </w:r>
    </w:p>
    <w:p>
      <w:pPr>
        <w:pStyle w:val="FirstParagraph"/>
      </w:pPr>
      <w:r>
        <w:t xml:space="preserve">This analysis provides a foundational understanding of slvdeutgyk\'s environmental impact, guiding vlzsjggfdq towards more sustainable product development and operational strategies in alignment with global climate goals.</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slvdeutgyk</dc:title>
  <dc:creator/>
  <dc:description>Detailed Product Carbon Footprint (PCF) analysis report for product slvdeutgyk by vlzsjggfdq, adhering to GHG Protocol and 2026 updates, conducted by Senior Sustainability Consultant lfqztmxwtz.</dc:description>
  <dc:language>en</dc:language>
  <cp:keywords/>
  <dcterms:created xsi:type="dcterms:W3CDTF">2026-05-30T19:23:27Z</dcterms:created>
  <dcterms:modified xsi:type="dcterms:W3CDTF">2026-05-30T19:23:27Z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