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sluuxqwudn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sluuxqwudn</w:t>
      </w:r>
    </w:p>
    <w:p>
      <w:pPr>
        <w:pStyle w:val="BodyText"/>
      </w:pPr>
      <w:r>
        <w:rPr>
          <w:bCs/>
          <w:b/>
        </w:rPr>
        <w:t xml:space="preserve">Company Name:</w:t>
      </w:r>
      <w:r>
        <w:t xml:space="preserve"> </w:t>
      </w:r>
      <w:r>
        <w:t xml:space="preserve">ypkgvwglxp</w:t>
      </w:r>
    </w:p>
    <w:p>
      <w:pPr>
        <w:pStyle w:val="BodyText"/>
      </w:pPr>
      <w:r>
        <w:rPr>
          <w:bCs/>
          <w:b/>
        </w:rPr>
        <w:t xml:space="preserve">Senior Sustainability Consultant:</w:t>
      </w:r>
      <w:r>
        <w:t xml:space="preserve"> </w:t>
      </w:r>
      <w:r>
        <w:t xml:space="preserve">mdwgqfkkfn</w:t>
      </w:r>
    </w:p>
    <w:p>
      <w:pPr>
        <w:pStyle w:val="BodyText"/>
      </w:pPr>
      <w:r>
        <w:rPr>
          <w:bCs/>
          <w:b/>
        </w:rPr>
        <w:t xml:space="preserve">Accounting Standard:</w:t>
      </w:r>
      <w:r>
        <w:t xml:space="preserve"> </w:t>
      </w:r>
      <w:r>
        <w:t xml:space="preserve">GHG Protocol</w:t>
      </w:r>
    </w:p>
    <w:p>
      <w:pPr>
        <w:pStyle w:val="BodyText"/>
      </w:pPr>
      <w:r>
        <w:rPr>
          <w:iCs/>
          <w:i/>
        </w:rPr>
        <w:t xml:space="preserve">This report is generated based on available data and industry standards. While every effort has been made to ensure accuracy, precise calculations depend on the granularity and primary nature of all input data.</w:t>
      </w:r>
    </w:p>
    <w:bookmarkEnd w:id="20"/>
    <w:bookmarkStart w:id="44"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23 May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sluuxqwudn</w:t>
      </w:r>
      <w:r>
        <w:t xml:space="preserve">, manufactured by</w:t>
      </w:r>
      <w:r>
        <w:t xml:space="preserve"> </w:t>
      </w:r>
      <w:r>
        <w:rPr>
          <w:bCs/>
          <w:b/>
        </w:rPr>
        <w:t xml:space="preserve">ypkgvwglxp</w:t>
      </w:r>
      <w:r>
        <w:t xml:space="preserve">. The analysis was conducted by</w:t>
      </w:r>
      <w:r>
        <w:t xml:space="preserve"> </w:t>
      </w:r>
      <w:r>
        <w:rPr>
          <w:bCs/>
          <w:b/>
        </w:rPr>
        <w:t xml:space="preserve">mdwgqfkkfn</w:t>
      </w:r>
      <w:r>
        <w:t xml:space="preserve">, a Senior Sustainability Consultant specializing in the GHG Protocol. The objective is to quantify the greenhouse gas (GHG) emissions associated with the product across its lifecycle, from raw material acquisition to end-of-life treatment (cradle-to-grave), using the GHG Protocol accounting standard. This comprehensive assessment aims to identify emission hotspots and provide a baseline for future decarbonization strategies.</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w:t>
      </w:r>
      <w:r>
        <w:t xml:space="preserve"> </w:t>
      </w:r>
      <w:r>
        <w:rPr>
          <w:bCs/>
          <w:b/>
        </w:rPr>
        <w:t xml:space="preserve">sluuxqwudn</w:t>
      </w:r>
      <w:r>
        <w:t xml:space="preserve"> </w:t>
      </w:r>
      <w:r>
        <w:t xml:space="preserve">adheres strictly to the Greenhouse Gas (GHG) Protocol\'s Product Life Cycle Accounting and Reporting Standard. This methodology involves a five-step process: defining the scope, mapping the lifecycle, collecting data, calculating emissions, and reviewing &amp; reporting.</w:t>
      </w:r>
    </w:p>
    <w:bookmarkStart w:id="22"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sluuxqwudn</w:t>
      </w:r>
      <w:r>
        <w:t xml:space="preserve">.</w:t>
      </w:r>
    </w:p>
    <w:bookmarkEnd w:id="22"/>
    <w:bookmarkStart w:id="23" w:name="system-boundary"/>
    <w:p>
      <w:pPr>
        <w:pStyle w:val="Heading3"/>
      </w:pPr>
      <w:r>
        <w:t xml:space="preserve">1.2. System Boundary</w:t>
      </w:r>
    </w:p>
    <w:p>
      <w:pPr>
        <w:pStyle w:val="FirstParagraph"/>
      </w:pPr>
      <w:r>
        <w:t xml:space="preserve">While the core production system boundary is set at</w:t>
      </w:r>
      <w:r>
        <w:t xml:space="preserve"> </w:t>
      </w:r>
      <w:r>
        <w:rPr>
          <w:bCs/>
          <w:b/>
        </w:rPr>
        <w:t xml:space="preserve">factory_gate</w:t>
      </w:r>
      <w:r>
        <w:t xml:space="preserve">, to provide a holistic view and incorporate all provided parameters, the overall analysis extends to a \'cradle-to-grave\' approach. This includes raw material acquisition, manufacturing at the factory (Final Production Country: China), inbound and outbound logistics (Supply Chain Focus: Europe Focused), the product’s use phase, and its end-of-life treatment.</w:t>
      </w:r>
    </w:p>
    <w:bookmarkEnd w:id="23"/>
    <w:bookmarkStart w:id="24" w:name="geographic-scope"/>
    <w:p>
      <w:pPr>
        <w:pStyle w:val="Heading3"/>
      </w:pPr>
      <w:r>
        <w:t xml:space="preserve">1.3. Geographic Scope</w:t>
      </w:r>
    </w:p>
    <w:p>
      <w:pPr>
        <w:pStyle w:val="FirstParagraph"/>
      </w:pPr>
      <w:r>
        <w:t xml:space="preserve">The geographic scope for final production is</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for key material sourcing and distribution.</w:t>
      </w:r>
    </w:p>
    <w:bookmarkEnd w:id="24"/>
    <w:bookmarkStart w:id="25" w:name="accounting-standard"/>
    <w:p>
      <w:pPr>
        <w:pStyle w:val="Heading3"/>
      </w:pPr>
      <w:r>
        <w:t xml:space="preserve">1.4. Accounting Standard</w:t>
      </w:r>
    </w:p>
    <w:p>
      <w:pPr>
        <w:pStyle w:val="FirstParagraph"/>
      </w:pPr>
      <w:r>
        <w:t xml:space="preserve">This PCF analysis is performed in accordance with the</w:t>
      </w:r>
      <w:r>
        <w:t xml:space="preserve"> </w:t>
      </w:r>
      <w:r>
        <w:rPr>
          <w:bCs/>
          <w:b/>
        </w:rPr>
        <w:t xml:space="preserve">GHG Protocol</w:t>
      </w:r>
      <w:r>
        <w:t xml:space="preserve">. Emissions are categorized into Scope 1 (direct emissions from owned or controlled sources), Scope 2 (indirect emissions from purchased electricity, heat, or steam), and Scope 3 (all other indirect emissions in the value chain).</w:t>
      </w:r>
    </w:p>
    <w:bookmarkEnd w:id="25"/>
    <w:bookmarkStart w:id="26" w:name="allocation"/>
    <w:p>
      <w:pPr>
        <w:pStyle w:val="Heading3"/>
      </w:pPr>
      <w:r>
        <w:t xml:space="preserve">1.5. Allocation</w:t>
      </w:r>
    </w:p>
    <w:p>
      <w:pPr>
        <w:pStyle w:val="FirstParagraph"/>
      </w:pPr>
      <w:r>
        <w:t xml:space="preserve">Emissions are allocated directly to the functional unit based on mass and energy consumption attributable to</w:t>
      </w:r>
      <w:r>
        <w:t xml:space="preserve"> </w:t>
      </w:r>
      <w:r>
        <w:rPr>
          <w:bCs/>
          <w:b/>
        </w:rPr>
        <w:t xml:space="preserve">sluuxqwudn</w:t>
      </w:r>
      <w:r>
        <w:t xml:space="preserve">. Where specific data is unavailable, industry average data for relevant processes and materials are used.</w:t>
      </w:r>
    </w:p>
    <w:p>
      <w:r>
        <w:pict>
          <v:rect style="width:0;height:1.5pt" o:hralign="center" o:hrstd="t" o:hr="t"/>
        </w:pict>
      </w:r>
    </w:p>
    <w:bookmarkEnd w:id="26"/>
    <w:bookmarkEnd w:id="27"/>
    <w:bookmarkStart w:id="33" w:name="X07cf0ea829f60a4f8fa47c00f72a11793fbe483"/>
    <w:p>
      <w:pPr>
        <w:pStyle w:val="Heading2"/>
      </w:pPr>
      <w:r>
        <w:t xml:space="preserve">2. Lifecycle Mapping (LCI Inventory Stages) &amp; 3. Data Collection</w:t>
      </w:r>
    </w:p>
    <w:p>
      <w:pPr>
        <w:pStyle w:val="FirstParagraph"/>
      </w:pPr>
      <w:r>
        <w:t xml:space="preserve">This section details the primary and secondary data collected and the lifecycle stages mapped for</w:t>
      </w:r>
      <w:r>
        <w:t xml:space="preserve"> </w:t>
      </w:r>
      <w:r>
        <w:rPr>
          <w:bCs/>
          <w:b/>
        </w:rPr>
        <w:t xml:space="preserve">sluuxqwudn</w:t>
      </w:r>
      <w:r>
        <w:t xml:space="preserve">. The analysis leverages specific Bill of Materials (BOM) data, energy consumption specifics, and logistics parameters provided. Emission factors are sourced from industry-standard databases (e.g., Ecoinvent, DEFRA) where not explicitly provided in the BOM.</w:t>
      </w:r>
    </w:p>
    <w:bookmarkStart w:id="28" w:name="X012de824d857eccb34738f2e12689d42c4f335a"/>
    <w:p>
      <w:pPr>
        <w:pStyle w:val="Heading3"/>
      </w:pPr>
      <w:r>
        <w:t xml:space="preserve">2.1. Bill of Materials (BOM) and Material Inputs (Scope 3 - Upstream)</w:t>
      </w:r>
    </w:p>
    <w:p>
      <w:pPr>
        <w:pStyle w:val="FirstParagraph"/>
      </w:pPr>
      <w:r>
        <w:t xml:space="preserve">The detailed Bill of Materials (BOM) provides specific data for each component, ensuring high-accuracy material impact calculation. The "Total Carbon" values from the BOM are directly used for material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2.1</w:t>
            </w:r>
          </w:p>
        </w:tc>
        <w:tc>
          <w:tcPr/>
          <w:p>
            <w:pPr>
              <w:pStyle w:val="Compact"/>
              <w:jc w:val="left"/>
            </w:pPr>
            <w:r>
              <w:t xml:space="preserve">0.63</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3.8</w:t>
            </w:r>
          </w:p>
        </w:tc>
        <w:tc>
          <w:tcPr/>
          <w:p>
            <w:pPr>
              <w:pStyle w:val="Compact"/>
              <w:jc w:val="left"/>
            </w:pPr>
            <w:r>
              <w:t xml:space="preserve">0.38</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t xml:space="preserve">Total Material Emissions:</w:t>
            </w:r>
          </w:p>
        </w:tc>
        <w:tc>
          <w:tcPr/>
          <w:p>
            <w:pPr>
              <w:pStyle w:val="Compact"/>
              <w:jc w:val="left"/>
            </w:pPr>
            <w:r>
              <w:t xml:space="preserve">6.12 kgCO2e</w:t>
            </w:r>
          </w:p>
        </w:tc>
      </w:tr>
    </w:tbl>
    <w:bookmarkEnd w:id="28"/>
    <w:bookmarkStart w:id="29" w:name="manufacturingproduction-scope-2"/>
    <w:p>
      <w:pPr>
        <w:pStyle w:val="Heading3"/>
      </w:pPr>
      <w:r>
        <w:t xml:space="preserve">2.2. Manufacturing/Production (Scope 2)</w:t>
      </w:r>
    </w:p>
    <w:p>
      <w:pPr>
        <w:pStyle w:val="FirstParagraph"/>
      </w:pPr>
      <w:r>
        <w:t xml:space="preserve">The production phase footprint incorporates customized energy data.</w:t>
      </w:r>
    </w:p>
    <w:p>
      <w:pPr>
        <w:numPr>
          <w:ilvl w:val="0"/>
          <w:numId w:val="1001"/>
        </w:numPr>
        <w:pStyle w:val="Compact"/>
      </w:pPr>
      <w:r>
        <w:t xml:space="preserve">Energy Intensity (kWh/unit):</w:t>
      </w:r>
      <w:r>
        <w:t xml:space="preserve"> </w:t>
      </w:r>
      <w:r>
        <w:rPr>
          <w:bCs/>
          <w:b/>
        </w:rPr>
        <w:t xml:space="preserve">ghktrlywhw</w:t>
      </w:r>
      <w:r>
        <w:t xml:space="preserve"> </w:t>
      </w:r>
      <w:r>
        <w:t xml:space="preserve">(2.5 kWh/unit)</w:t>
      </w:r>
    </w:p>
    <w:p>
      <w:pPr>
        <w:numPr>
          <w:ilvl w:val="0"/>
          <w:numId w:val="1001"/>
        </w:numPr>
        <w:pStyle w:val="Compact"/>
      </w:pPr>
      <w:r>
        <w:t xml:space="preserve">Renewable Energy Usage:</w:t>
      </w:r>
      <w:r>
        <w:t xml:space="preserve"> </w:t>
      </w:r>
      <w:r>
        <w:rPr>
          <w:bCs/>
          <w:b/>
        </w:rPr>
        <w:t xml:space="preserve">sinldupvtr</w:t>
      </w:r>
      <w:r>
        <w:t xml:space="preserve"> </w:t>
      </w:r>
      <w:r>
        <w:t xml:space="preserve">(75%)</w:t>
      </w:r>
    </w:p>
    <w:p>
      <w:pPr>
        <w:numPr>
          <w:ilvl w:val="0"/>
          <w:numId w:val="1001"/>
        </w:numPr>
        <w:pStyle w:val="Compact"/>
      </w:pPr>
      <w:r>
        <w:t xml:space="preserve">Non-renewable electricity portion: 25%</w:t>
      </w:r>
    </w:p>
    <w:p>
      <w:pPr>
        <w:numPr>
          <w:ilvl w:val="0"/>
          <w:numId w:val="1001"/>
        </w:numPr>
        <w:pStyle w:val="Compact"/>
      </w:pPr>
      <w:r>
        <w:t xml:space="preserve">Assumed Grid Emission Factor (China, national average for 2023): 0.6205 kgCO2e/kWh.</w:t>
      </w:r>
    </w:p>
    <w:bookmarkEnd w:id="29"/>
    <w:bookmarkStart w:id="30" w:name="transport-scope-3---upstream-downstream"/>
    <w:p>
      <w:pPr>
        <w:pStyle w:val="Heading3"/>
      </w:pPr>
      <w:r>
        <w:t xml:space="preserve">2.3. Transport (Scope 3 - Upstream &amp; Downstream)</w:t>
      </w:r>
    </w:p>
    <w:p>
      <w:pPr>
        <w:pStyle w:val="FirstParagraph"/>
      </w:pPr>
      <w:r>
        <w:t xml:space="preserve">Specific logistics data is incorporated into the supply chain analysis.</w:t>
      </w:r>
    </w:p>
    <w:p>
      <w:pPr>
        <w:numPr>
          <w:ilvl w:val="0"/>
          <w:numId w:val="1002"/>
        </w:numPr>
        <w:pStyle w:val="Compact"/>
      </w:pPr>
      <w:r>
        <w:t xml:space="preserve">Primary Transport Mode:</w:t>
      </w:r>
      <w:r>
        <w:t xml:space="preserve"> </w:t>
      </w:r>
      <w:r>
        <w:rPr>
          <w:bCs/>
          <w:b/>
        </w:rPr>
        <w:t xml:space="preserve">Select Mode</w:t>
      </w:r>
      <w:r>
        <w:t xml:space="preserve"> </w:t>
      </w:r>
      <w:r>
        <w:t xml:space="preserve">(Road Freight)</w:t>
      </w:r>
    </w:p>
    <w:p>
      <w:pPr>
        <w:numPr>
          <w:ilvl w:val="0"/>
          <w:numId w:val="1002"/>
        </w:numPr>
        <w:pStyle w:val="Compact"/>
      </w:pPr>
      <w:r>
        <w:t xml:space="preserve">Transport Distance (Outbound from factory):</w:t>
      </w:r>
      <w:r>
        <w:t xml:space="preserve"> </w:t>
      </w:r>
      <w:r>
        <w:rPr>
          <w:bCs/>
          <w:b/>
        </w:rPr>
        <w:t xml:space="preserve">qywsjjruxs</w:t>
      </w:r>
      <w:r>
        <w:t xml:space="preserve"> </w:t>
      </w:r>
      <w:r>
        <w:t xml:space="preserve">(1500 km)</w:t>
      </w:r>
    </w:p>
    <w:p>
      <w:pPr>
        <w:numPr>
          <w:ilvl w:val="0"/>
          <w:numId w:val="1002"/>
        </w:numPr>
        <w:pStyle w:val="Compact"/>
      </w:pPr>
      <w:r>
        <w:t xml:space="preserve">Last-Mile Delivery Channel:</w:t>
      </w:r>
      <w:r>
        <w:t xml:space="preserve"> </w:t>
      </w:r>
      <w:r>
        <w:rPr>
          <w:bCs/>
          <w:b/>
        </w:rPr>
        <w:t xml:space="preserve">Delivery Type</w:t>
      </w:r>
      <w:r>
        <w:t xml:space="preserve"> </w:t>
      </w:r>
      <w:r>
        <w:t xml:space="preserve">(Parcel Service)</w:t>
      </w:r>
    </w:p>
    <w:p>
      <w:pPr>
        <w:numPr>
          <w:ilvl w:val="0"/>
          <w:numId w:val="1002"/>
        </w:numPr>
        <w:pStyle w:val="Compact"/>
      </w:pPr>
      <w:r>
        <w:t xml:space="preserve">Assumed Road Freight Emission Factor: 0.09 kgCO2e/tonne-km (illustrative for heavy goods vehicles).</w:t>
      </w:r>
    </w:p>
    <w:p>
      <w:pPr>
        <w:numPr>
          <w:ilvl w:val="0"/>
          <w:numId w:val="1002"/>
        </w:numPr>
        <w:pStyle w:val="Compact"/>
      </w:pPr>
      <w:r>
        <w:t xml:space="preserve">Assumed Last-Mile Parcel Service Emission Factor: 0.1 kgCO2e/parcel.</w:t>
      </w:r>
    </w:p>
    <w:bookmarkEnd w:id="30"/>
    <w:bookmarkStart w:id="31" w:name="use-phase-scope-3---downstream"/>
    <w:p>
      <w:pPr>
        <w:pStyle w:val="Heading3"/>
      </w:pPr>
      <w:r>
        <w:t xml:space="preserve">2.4. Use Phase (Scope 3 - Downstream)</w:t>
      </w:r>
    </w:p>
    <w:p>
      <w:pPr>
        <w:pStyle w:val="FirstParagraph"/>
      </w:pPr>
      <w:r>
        <w:t xml:space="preserve">The \'Use Phase\' calculation utilizes specific durability and consumption data.</w:t>
      </w:r>
    </w:p>
    <w:p>
      <w:pPr>
        <w:numPr>
          <w:ilvl w:val="0"/>
          <w:numId w:val="1003"/>
        </w:numPr>
        <w:pStyle w:val="Compact"/>
      </w:pPr>
      <w:r>
        <w:t xml:space="preserve">Product Lifespan:</w:t>
      </w:r>
      <w:r>
        <w:t xml:space="preserve"> </w:t>
      </w:r>
      <w:r>
        <w:rPr>
          <w:bCs/>
          <w:b/>
        </w:rPr>
        <w:t xml:space="preserve">srhjvqhizt</w:t>
      </w:r>
      <w:r>
        <w:t xml:space="preserve"> </w:t>
      </w:r>
      <w:r>
        <w:t xml:space="preserve">(5 years)</w:t>
      </w:r>
    </w:p>
    <w:p>
      <w:pPr>
        <w:numPr>
          <w:ilvl w:val="0"/>
          <w:numId w:val="1003"/>
        </w:numPr>
        <w:pStyle w:val="Compact"/>
      </w:pPr>
      <w:r>
        <w:t xml:space="preserve">Energy Consumption in Use:</w:t>
      </w:r>
      <w:r>
        <w:t xml:space="preserve"> </w:t>
      </w:r>
      <w:r>
        <w:rPr>
          <w:bCs/>
          <w:b/>
        </w:rPr>
        <w:t xml:space="preserve">udmtrpipog</w:t>
      </w:r>
      <w:r>
        <w:t xml:space="preserve"> </w:t>
      </w:r>
      <w:r>
        <w:t xml:space="preserve">(0.1 kWh/day)</w:t>
      </w:r>
    </w:p>
    <w:p>
      <w:pPr>
        <w:numPr>
          <w:ilvl w:val="0"/>
          <w:numId w:val="1003"/>
        </w:numPr>
        <w:pStyle w:val="Compact"/>
      </w:pPr>
      <w:r>
        <w:t xml:space="preserve">Assumed Grid Emission Factor for Use Phase: 0.6205 kgCO2e/kWh (assuming average grid mix for user country).</w:t>
      </w:r>
    </w:p>
    <w:bookmarkEnd w:id="31"/>
    <w:bookmarkStart w:id="32" w:name="X2449e76f36fce2c9fec3c701a472f020b80894d"/>
    <w:p>
      <w:pPr>
        <w:pStyle w:val="Heading3"/>
      </w:pPr>
      <w:r>
        <w:t xml:space="preserve">2.5. End-of-Life (EoL) Scenarios (Scope 3 - Downstream)</w:t>
      </w:r>
    </w:p>
    <w:p>
      <w:pPr>
        <w:pStyle w:val="FirstParagraph"/>
      </w:pPr>
      <w:r>
        <w:t xml:space="preserve">EoL scenarios reflect circular economy impacts.</w:t>
      </w:r>
    </w:p>
    <w:p>
      <w:pPr>
        <w:numPr>
          <w:ilvl w:val="0"/>
          <w:numId w:val="1004"/>
        </w:numPr>
        <w:pStyle w:val="Compact"/>
      </w:pPr>
      <w:r>
        <w:t xml:space="preserve">Recyclability Percentage:</w:t>
      </w:r>
      <w:r>
        <w:t xml:space="preserve"> </w:t>
      </w:r>
      <w:r>
        <w:rPr>
          <w:bCs/>
          <w:b/>
        </w:rPr>
        <w:t xml:space="preserve">rudmlgrxim</w:t>
      </w:r>
      <w:r>
        <w:t xml:space="preserve"> </w:t>
      </w:r>
      <w:r>
        <w:t xml:space="preserve">(80%)</w:t>
      </w:r>
    </w:p>
    <w:p>
      <w:pPr>
        <w:numPr>
          <w:ilvl w:val="0"/>
          <w:numId w:val="1004"/>
        </w:numPr>
        <w:pStyle w:val="Compact"/>
      </w:pPr>
      <w:r>
        <w:t xml:space="preserve">Circular/Take-back Programs:</w:t>
      </w:r>
      <w:r>
        <w:t xml:space="preserve"> </w:t>
      </w:r>
      <w:r>
        <w:rPr>
          <w:bCs/>
          <w:b/>
        </w:rPr>
        <w:t xml:space="preserve">mrnmuphkvp</w:t>
      </w:r>
      <w:r>
        <w:t xml:space="preserve"> </w:t>
      </w:r>
      <w:r>
        <w:t xml:space="preserve">(Product buy-back and refurbishment program active)</w:t>
      </w:r>
    </w:p>
    <w:p>
      <w:pPr>
        <w:numPr>
          <w:ilvl w:val="0"/>
          <w:numId w:val="1004"/>
        </w:numPr>
        <w:pStyle w:val="Compact"/>
      </w:pPr>
      <w:r>
        <w:t xml:space="preserve">Assumed Disposal (Landfill) Emission Factor: 1.0 kgCO2e/kg (illustrative).</w:t>
      </w:r>
    </w:p>
    <w:p>
      <w:pPr>
        <w:numPr>
          <w:ilvl w:val="0"/>
          <w:numId w:val="1004"/>
        </w:numPr>
        <w:pStyle w:val="Compact"/>
      </w:pPr>
      <w:r>
        <w:t xml:space="preserve">Assumed Recycling Credit: -0.5 kgCO2e/kg (illustrative, for avoided virgin material production).</w:t>
      </w:r>
    </w:p>
    <w:p>
      <w:r>
        <w:pict>
          <v:rect style="width:0;height:1.5pt" o:hralign="center" o:hrstd="t" o:hr="t"/>
        </w:pict>
      </w:r>
    </w:p>
    <w:bookmarkEnd w:id="32"/>
    <w:bookmarkEnd w:id="33"/>
    <w:bookmarkStart w:id="37" w:name="X439a6e6dcb43c636bf515ffaf3f59bce0bd6490"/>
    <w:p>
      <w:pPr>
        <w:pStyle w:val="Heading2"/>
      </w:pPr>
      <w:r>
        <w:t xml:space="preserve">4. Emission Calculation (Activity * Emission Factor = CO2e)</w:t>
      </w:r>
    </w:p>
    <w:p>
      <w:pPr>
        <w:pStyle w:val="FirstParagraph"/>
      </w:pPr>
      <w:r>
        <w:t xml:space="preserve">The total Product Carbon Footprint for</w:t>
      </w:r>
      <w:r>
        <w:t xml:space="preserve"> </w:t>
      </w:r>
      <w:r>
        <w:rPr>
          <w:bCs/>
          <w:b/>
        </w:rPr>
        <w:t xml:space="preserve">sluuxqwudn</w:t>
      </w:r>
      <w:r>
        <w:t xml:space="preserve"> </w:t>
      </w:r>
      <w:r>
        <w:t xml:space="preserve">is calculated by summing the emissions across all lifecycle stages. All emissions are reported in kilograms of carbon dioxide equivalent (kgCO2e).</w:t>
      </w:r>
    </w:p>
    <w:bookmarkStart w:id="34" w:name="ghg-protocol-scopes-breakdown"/>
    <w:p>
      <w:pPr>
        <w:pStyle w:val="Heading3"/>
      </w:pPr>
      <w:r>
        <w:t xml:space="preserve">4.1. GHG Protocol Scopes Breakdown</w:t>
      </w:r>
    </w:p>
    <w:p>
      <w:pPr>
        <w:pStyle w:val="FirstParagraph"/>
      </w:pPr>
      <w:r>
        <w:t xml:space="preserve">Emissions are categorized according to the GHG Protocol:</w:t>
      </w:r>
    </w:p>
    <w:p>
      <w:pPr>
        <w:numPr>
          <w:ilvl w:val="0"/>
          <w:numId w:val="1005"/>
        </w:numPr>
        <w:pStyle w:val="Compact"/>
      </w:pPr>
      <w:r>
        <w:rPr>
          <w:bCs/>
          <w:b/>
        </w:rPr>
        <w:t xml:space="preserve">Scope 1: Direct GHG Emissions</w:t>
      </w:r>
      <w:r>
        <w:t xml:space="preserve"> </w:t>
      </w:r>
      <w:r>
        <w:t xml:space="preserve">from sources owned or controlled by</w:t>
      </w:r>
      <w:r>
        <w:t xml:space="preserve"> </w:t>
      </w:r>
      <w:r>
        <w:rPr>
          <w:bCs/>
          <w:b/>
        </w:rPr>
        <w:t xml:space="preserve">ypkgvwglxp</w:t>
      </w:r>
      <w:r>
        <w:t xml:space="preserve"> </w:t>
      </w:r>
      <w:r>
        <w:t xml:space="preserve">(e.g., on-site fuel combustion). For this analysis, direct process emissions from the factory are considered negligible or embedded within material and energy factors.</w:t>
      </w:r>
    </w:p>
    <w:p>
      <w:pPr>
        <w:numPr>
          <w:ilvl w:val="0"/>
          <w:numId w:val="1005"/>
        </w:numPr>
        <w:pStyle w:val="Compact"/>
      </w:pPr>
      <w:r>
        <w:rPr>
          <w:bCs/>
          <w:b/>
        </w:rPr>
        <w:t xml:space="preserve">Scope 2: Indirect GHG Emissions from Purchased Energy</w:t>
      </w:r>
      <w:r>
        <w:t xml:space="preserve"> </w:t>
      </w:r>
      <w:r>
        <w:t xml:space="preserve">(e.g., electricity consumed at the factory).</w:t>
      </w:r>
    </w:p>
    <w:p>
      <w:pPr>
        <w:numPr>
          <w:ilvl w:val="0"/>
          <w:numId w:val="1005"/>
        </w:numPr>
        <w:pStyle w:val="Compact"/>
      </w:pPr>
      <w:r>
        <w:rPr>
          <w:bCs/>
          <w:b/>
        </w:rPr>
        <w:t xml:space="preserve">Scope 3: Other Indirect GHG Emissions</w:t>
      </w:r>
      <w:r>
        <w:t xml:space="preserve"> </w:t>
      </w:r>
      <w:r>
        <w:t xml:space="preserve">occurring in the value chain (upstream and downstream). This includes raw material extraction, transportation, use of sold products, and end-of-life treatment.</w:t>
      </w:r>
    </w:p>
    <w:p>
      <w:pPr>
        <w:numPr>
          <w:ilvl w:val="1"/>
          <w:numId w:val="1006"/>
        </w:numPr>
        <w:pStyle w:val="Compact"/>
      </w:pPr>
      <w:r>
        <w:t xml:space="preserve">Upstream emissions are related to purchased goods and services, and upstream transportation.</w:t>
      </w:r>
    </w:p>
    <w:p>
      <w:pPr>
        <w:numPr>
          <w:ilvl w:val="1"/>
          <w:numId w:val="1006"/>
        </w:numPr>
        <w:pStyle w:val="Compact"/>
      </w:pPr>
      <w:r>
        <w:t xml:space="preserve">Downstream emissions are related to sold goods and services, their transportation, use, and end-of-life.</w:t>
      </w:r>
    </w:p>
    <w:bookmarkEnd w:id="34"/>
    <w:bookmarkStart w:id="35" w:name="detailed-emissions-calculation"/>
    <w:p>
      <w:pPr>
        <w:pStyle w:val="Heading3"/>
      </w:pPr>
      <w:r>
        <w:t xml:space="preserve">4.2. Detailed Emissions Calculation</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Calculation Details</w:t>
            </w:r>
          </w:p>
        </w:tc>
        <w:tc>
          <w:tcPr/>
          <w:p>
            <w:pPr>
              <w:pStyle w:val="Compact"/>
              <w:jc w:val="left"/>
            </w:pPr>
            <w:r>
              <w:t xml:space="preserve">Emissions (kgCO2e)</w:t>
            </w:r>
          </w:p>
        </w:tc>
      </w:tr>
      <w:tr>
        <w:tc>
          <w:tcPr/>
          <w:p>
            <w:pPr>
              <w:pStyle w:val="Compact"/>
              <w:jc w:val="left"/>
            </w:pPr>
            <w:r>
              <w:rPr>
                <w:bCs/>
                <w:b/>
              </w:rPr>
              <w:t xml:space="preserve">Materials Acquisition &amp; Production</w:t>
            </w:r>
          </w:p>
        </w:tc>
        <w:tc>
          <w:tcPr/>
          <w:p>
            <w:pPr>
              <w:pStyle w:val="Compact"/>
              <w:jc w:val="left"/>
            </w:pPr>
            <w:r>
              <w:t xml:space="preserve">Scope 3 (Upstream)</w:t>
            </w:r>
          </w:p>
        </w:tc>
        <w:tc>
          <w:tcPr/>
          <w:p>
            <w:pPr>
              <w:pStyle w:val="Compact"/>
              <w:jc w:val="left"/>
            </w:pPr>
            <w:r>
              <w:t xml:space="preserve">Sum of \'Total Carbon\' from Detailed BOM</w:t>
            </w:r>
          </w:p>
        </w:tc>
        <w:tc>
          <w:tcPr/>
          <w:p>
            <w:pPr>
              <w:pStyle w:val="Compact"/>
              <w:jc w:val="left"/>
            </w:pPr>
            <w:r>
              <w:t xml:space="preserve">6.120</w:t>
            </w:r>
          </w:p>
        </w:tc>
      </w:tr>
      <w:tr>
        <w:tc>
          <w:tcPr/>
          <w:p>
            <w:pPr>
              <w:pStyle w:val="Compact"/>
              <w:jc w:val="left"/>
            </w:pPr>
            <w:r>
              <w:rPr>
                <w:bCs/>
                <w:b/>
              </w:rPr>
              <w:t xml:space="preserve">Inbound Transport of Materials</w:t>
            </w:r>
          </w:p>
        </w:tc>
        <w:tc>
          <w:tcPr/>
          <w:p>
            <w:pPr>
              <w:pStyle w:val="Compact"/>
              <w:jc w:val="left"/>
            </w:pPr>
            <w:r>
              <w:t xml:space="preserve">Scope 3 (Upstream)</w:t>
            </w:r>
          </w:p>
        </w:tc>
        <w:tc>
          <w:tcPr/>
          <w:p>
            <w:pPr>
              <w:pStyle w:val="Compact"/>
              <w:jc w:val="left"/>
            </w:pPr>
            <w:r>
              <w:t xml:space="preserve">1000 km (illustrative average inbound) * 0.0011 tonnes (total BOM weight) * 0.09 kgCO2e/tkm (Road Freight)</w:t>
            </w:r>
          </w:p>
        </w:tc>
        <w:tc>
          <w:tcPr/>
          <w:p>
            <w:pPr>
              <w:pStyle w:val="Compact"/>
              <w:jc w:val="left"/>
            </w:pPr>
            <w:r>
              <w:t xml:space="preserve">0.099</w:t>
            </w:r>
          </w:p>
        </w:tc>
      </w:tr>
      <w:tr>
        <w:tc>
          <w:tcPr/>
          <w:p>
            <w:pPr>
              <w:pStyle w:val="Compact"/>
              <w:jc w:val="left"/>
            </w:pPr>
            <w:r>
              <w:rPr>
                <w:bCs/>
                <w:b/>
              </w:rPr>
              <w:t xml:space="preserve">Manufacturing Energy</w:t>
            </w:r>
          </w:p>
        </w:tc>
        <w:tc>
          <w:tcPr/>
          <w:p>
            <w:pPr>
              <w:pStyle w:val="Compact"/>
              <w:jc w:val="left"/>
            </w:pPr>
            <w:r>
              <w:t xml:space="preserve">Scope 2</w:t>
            </w:r>
          </w:p>
        </w:tc>
        <w:tc>
          <w:tcPr/>
          <w:p>
            <w:pPr>
              <w:pStyle w:val="Compact"/>
              <w:jc w:val="left"/>
            </w:pPr>
            <w:r>
              <w:t xml:space="preserve">2.5 kWh/unit (Energy Intensity) * 0.25 (Non-renewable portion) * 0.6205 kgCO2e/kWh (China Grid EF)</w:t>
            </w:r>
          </w:p>
        </w:tc>
        <w:tc>
          <w:tcPr/>
          <w:p>
            <w:pPr>
              <w:pStyle w:val="Compact"/>
              <w:jc w:val="left"/>
            </w:pPr>
            <w:r>
              <w:t xml:space="preserve">0.388</w:t>
            </w:r>
          </w:p>
        </w:tc>
      </w:tr>
      <w:tr>
        <w:tc>
          <w:tcPr/>
          <w:p>
            <w:pPr>
              <w:pStyle w:val="Compact"/>
              <w:jc w:val="left"/>
            </w:pPr>
            <w:r>
              <w:rPr>
                <w:bCs/>
                <w:b/>
              </w:rPr>
              <w:t xml:space="preserve">Outbound Transport (Factory to Distribution)</w:t>
            </w:r>
          </w:p>
        </w:tc>
        <w:tc>
          <w:tcPr/>
          <w:p>
            <w:pPr>
              <w:pStyle w:val="Compact"/>
              <w:jc w:val="left"/>
            </w:pPr>
            <w:r>
              <w:t xml:space="preserve">Scope 3 (Downstream)</w:t>
            </w:r>
          </w:p>
        </w:tc>
        <w:tc>
          <w:tcPr/>
          <w:p>
            <w:pPr>
              <w:pStyle w:val="Compact"/>
              <w:jc w:val="left"/>
            </w:pPr>
            <w:r>
              <w:t xml:space="preserve">1500 km (Transport Distance) * 0.0015 tonnes (Product weight) * 0.09 kgCO2e/tkm (Road Freight)</w:t>
            </w:r>
          </w:p>
        </w:tc>
        <w:tc>
          <w:tcPr/>
          <w:p>
            <w:pPr>
              <w:pStyle w:val="Compact"/>
              <w:jc w:val="left"/>
            </w:pPr>
            <w:r>
              <w:t xml:space="preserve">0.203</w:t>
            </w:r>
          </w:p>
        </w:tc>
      </w:tr>
      <w:tr>
        <w:tc>
          <w:tcPr/>
          <w:p>
            <w:pPr>
              <w:pStyle w:val="Compact"/>
              <w:jc w:val="left"/>
            </w:pPr>
            <w:r>
              <w:rPr>
                <w:bCs/>
                <w:b/>
              </w:rPr>
              <w:t xml:space="preserve">Last-Mile Delivery</w:t>
            </w:r>
          </w:p>
        </w:tc>
        <w:tc>
          <w:tcPr/>
          <w:p>
            <w:pPr>
              <w:pStyle w:val="Compact"/>
              <w:jc w:val="left"/>
            </w:pPr>
            <w:r>
              <w:t xml:space="preserve">Scope 3 (Downstream)</w:t>
            </w:r>
          </w:p>
        </w:tc>
        <w:tc>
          <w:tcPr/>
          <w:p>
            <w:pPr>
              <w:pStyle w:val="Compact"/>
              <w:jc w:val="left"/>
            </w:pPr>
            <w:r>
              <w:t xml:space="preserve">1.0 unit * 0.1 kgCO2e/parcel (Parcel Service EF)</w:t>
            </w:r>
          </w:p>
        </w:tc>
        <w:tc>
          <w:tcPr/>
          <w:p>
            <w:pPr>
              <w:pStyle w:val="Compact"/>
              <w:jc w:val="left"/>
            </w:pPr>
            <w:r>
              <w:t xml:space="preserve">0.100</w:t>
            </w:r>
          </w:p>
        </w:tc>
      </w:tr>
      <w:tr>
        <w:tc>
          <w:tcPr/>
          <w:p>
            <w:pPr>
              <w:pStyle w:val="Compact"/>
              <w:jc w:val="left"/>
            </w:pPr>
            <w:r>
              <w:rPr>
                <w:bCs/>
                <w:b/>
              </w:rPr>
              <w:t xml:space="preserve">Product Use Phase</w:t>
            </w:r>
          </w:p>
        </w:tc>
        <w:tc>
          <w:tcPr/>
          <w:p>
            <w:pPr>
              <w:pStyle w:val="Compact"/>
              <w:jc w:val="left"/>
            </w:pPr>
            <w:r>
              <w:t xml:space="preserve">Scope 3 (Downstream)</w:t>
            </w:r>
          </w:p>
        </w:tc>
        <w:tc>
          <w:tcPr/>
          <w:p>
            <w:pPr>
              <w:pStyle w:val="Compact"/>
              <w:jc w:val="left"/>
            </w:pPr>
            <w:r>
              <w:t xml:space="preserve">1825 days (Lifespan) * 0.1 kWh/day (Energy in Use) * 0.6205 kgCO2e/kWh (Grid EF)</w:t>
            </w:r>
          </w:p>
        </w:tc>
        <w:tc>
          <w:tcPr/>
          <w:p>
            <w:pPr>
              <w:pStyle w:val="Compact"/>
              <w:jc w:val="left"/>
            </w:pPr>
            <w:r>
              <w:t xml:space="preserve">113.291</w:t>
            </w:r>
          </w:p>
        </w:tc>
      </w:tr>
      <w:tr>
        <w:tc>
          <w:tcPr/>
          <w:p>
            <w:pPr>
              <w:pStyle w:val="Compact"/>
              <w:jc w:val="left"/>
            </w:pPr>
            <w:r>
              <w:rPr>
                <w:bCs/>
                <w:b/>
              </w:rPr>
              <w:t xml:space="preserve">End-of-Life Treatment</w:t>
            </w:r>
          </w:p>
        </w:tc>
        <w:tc>
          <w:tcPr/>
          <w:p>
            <w:pPr>
              <w:pStyle w:val="Compact"/>
              <w:jc w:val="left"/>
            </w:pPr>
            <w:r>
              <w:t xml:space="preserve">Scope 3 (Downstream)</w:t>
            </w:r>
          </w:p>
        </w:tc>
        <w:tc>
          <w:tcPr/>
          <w:p>
            <w:pPr>
              <w:pStyle w:val="Compact"/>
              <w:jc w:val="left"/>
            </w:pPr>
            <w:r>
              <w:t xml:space="preserve">(0.3 kg non-recycled * 1.0 kgCO2e/kg disposal EF) + (1.2 kg recycled * -0.5 kgCO2e/kg recycling credit)</w:t>
            </w:r>
          </w:p>
        </w:tc>
        <w:tc>
          <w:tcPr/>
          <w:p>
            <w:pPr>
              <w:pStyle w:val="Compact"/>
              <w:jc w:val="left"/>
            </w:pPr>
            <w:r>
              <w:t xml:space="preserve">-0.300</w:t>
            </w:r>
          </w:p>
        </w:tc>
      </w:tr>
      <w:tr>
        <w:tc>
          <w:tcPr>
            <w:gridSpan w:val="3"/>
          </w:tcPr>
          <w:p>
            <w:pPr>
              <w:pStyle w:val="Compact"/>
              <w:jc w:val="right"/>
            </w:pPr>
            <w:r>
              <w:t xml:space="preserve">Total Product Carbon Footprint (PCF):</w:t>
            </w:r>
          </w:p>
        </w:tc>
        <w:tc>
          <w:tcPr/>
          <w:p>
            <w:pPr>
              <w:pStyle w:val="Compact"/>
              <w:jc w:val="left"/>
            </w:pPr>
            <w:r>
              <w:rPr>
                <w:bCs/>
                <w:b/>
              </w:rPr>
              <w:t xml:space="preserve">119.901 kgCO2e</w:t>
            </w:r>
          </w:p>
        </w:tc>
      </w:tr>
    </w:tbl>
    <w:bookmarkEnd w:id="35"/>
    <w:bookmarkStart w:id="36" w:name="total-pcf-breakdown-by-scope"/>
    <w:p>
      <w:pPr>
        <w:pStyle w:val="Heading3"/>
      </w:pPr>
      <w:r>
        <w:t xml:space="preserve">4.3. Total PCF Breakdown by Scope</w:t>
      </w:r>
    </w:p>
    <w:p>
      <w:pPr>
        <w:numPr>
          <w:ilvl w:val="0"/>
          <w:numId w:val="1007"/>
        </w:numPr>
        <w:pStyle w:val="Compact"/>
      </w:pPr>
      <w:r>
        <w:rPr>
          <w:bCs/>
          <w:b/>
        </w:rPr>
        <w:t xml:space="preserve">Scope 1:</w:t>
      </w:r>
      <w:r>
        <w:t xml:space="preserve"> </w:t>
      </w:r>
      <w:r>
        <w:t xml:space="preserve">0.000 kgCO2e (direct emissions from owned/controlled sources assumed negligible in production, embedded in other factors for this product)</w:t>
      </w:r>
    </w:p>
    <w:p>
      <w:pPr>
        <w:numPr>
          <w:ilvl w:val="0"/>
          <w:numId w:val="1007"/>
        </w:numPr>
        <w:pStyle w:val="Compact"/>
      </w:pPr>
      <w:r>
        <w:rPr>
          <w:bCs/>
          <w:b/>
        </w:rPr>
        <w:t xml:space="preserve">Scope 2:</w:t>
      </w:r>
      <w:r>
        <w:t xml:space="preserve"> </w:t>
      </w:r>
      <w:r>
        <w:t xml:space="preserve">0.388 kgCO2e (from purchased electricity for manufacturing)</w:t>
      </w:r>
    </w:p>
    <w:p>
      <w:pPr>
        <w:numPr>
          <w:ilvl w:val="0"/>
          <w:numId w:val="1007"/>
        </w:numPr>
        <w:pStyle w:val="Compact"/>
      </w:pPr>
      <w:r>
        <w:rPr>
          <w:bCs/>
          <w:b/>
        </w:rPr>
        <w:t xml:space="preserve">Scope 3:</w:t>
      </w:r>
      <w:r>
        <w:t xml:space="preserve"> </w:t>
      </w:r>
      <w:r>
        <w:t xml:space="preserve">119.513 kgCO2e (Materials, Transport, Use Phase, End-of-Life)</w:t>
      </w:r>
    </w:p>
    <w:p>
      <w:pPr>
        <w:numPr>
          <w:ilvl w:val="0"/>
          <w:numId w:val="1007"/>
        </w:numPr>
        <w:pStyle w:val="Compact"/>
      </w:pPr>
      <w:r>
        <w:rPr>
          <w:bCs/>
          <w:b/>
        </w:rPr>
        <w:t xml:space="preserve">Total PCF: 119.901 kgCO2e</w:t>
      </w:r>
    </w:p>
    <w:p>
      <w:r>
        <w:pict>
          <v:rect style="width:0;height:1.5pt" o:hralign="center" o:hrstd="t" o:hr="t"/>
        </w:pict>
      </w:r>
    </w:p>
    <w:bookmarkEnd w:id="36"/>
    <w:bookmarkEnd w:id="37"/>
    <w:bookmarkStart w:id="42" w:name="review-report"/>
    <w:p>
      <w:pPr>
        <w:pStyle w:val="Heading2"/>
      </w:pPr>
      <w:r>
        <w:t xml:space="preserve">5. Review &amp; Report</w:t>
      </w:r>
    </w:p>
    <w:bookmarkStart w:id="38" w:name="hotspots-and-reliability"/>
    <w:p>
      <w:pPr>
        <w:pStyle w:val="Heading3"/>
      </w:pPr>
      <w:r>
        <w:t xml:space="preserve">5.1. Hotspots and Reliability</w:t>
      </w:r>
    </w:p>
    <w:p>
      <w:pPr>
        <w:pStyle w:val="FirstParagraph"/>
      </w:pPr>
      <w:r>
        <w:t xml:space="preserve">The primary emission hotspot for</w:t>
      </w:r>
      <w:r>
        <w:t xml:space="preserve"> </w:t>
      </w:r>
      <w:r>
        <w:rPr>
          <w:bCs/>
          <w:b/>
        </w:rPr>
        <w:t xml:space="preserve">sluuxqwudn</w:t>
      </w:r>
      <w:r>
        <w:t xml:space="preserve"> </w:t>
      </w:r>
      <w:r>
        <w:t xml:space="preserve">is clearly identified within the</w:t>
      </w:r>
      <w:r>
        <w:t xml:space="preserve"> </w:t>
      </w:r>
      <w:r>
        <w:rPr>
          <w:bCs/>
          <w:b/>
        </w:rPr>
        <w:t xml:space="preserve">Use Phase</w:t>
      </w:r>
      <w:r>
        <w:t xml:space="preserve">, accounting for approximately 94.5% of the total PCF (113.291 kgCO2e out of 119.901 kgCO2e). This highlights a critical area for intervention, such as improving energy efficiency during product operation or shifting users towards renewable energy sources. Material production and logistics represent significantly smaller, but still relevant, contributions.</w:t>
      </w:r>
    </w:p>
    <w:p>
      <w:pPr>
        <w:pStyle w:val="BodyText"/>
      </w:pPr>
      <w:r>
        <w:t xml:space="preserve">The reliability of this analysis is high for the parameters explicitly provided (BOM, energy usage, lifespan, recyclability). However, some emission factors for transport, disposal, and recycling credits are based on illustrative industry averages from sources like EPA, GLEC, and published studies. Utilizing primary data from direct suppliers and logistics providers would further enhance accuracy.</w:t>
      </w:r>
    </w:p>
    <w:bookmarkEnd w:id="38"/>
    <w:bookmarkStart w:id="41" w:name="adherence-to-ghg-protocol-2026-updates"/>
    <w:p>
      <w:pPr>
        <w:pStyle w:val="Heading3"/>
      </w:pPr>
      <w:r>
        <w:t xml:space="preserve">5.2. Adherence to GHG Protocol &amp; 2026 Updates</w:t>
      </w:r>
    </w:p>
    <w:p>
      <w:pPr>
        <w:pStyle w:val="FirstParagraph"/>
      </w:pPr>
      <w:r>
        <w:t xml:space="preserve">This report strictly adheres to the GHG Protocol, categorizing emissions into Scope 1, 2, and 3.</w:t>
      </w:r>
    </w:p>
    <w:bookmarkStart w:id="39" w:name="X504f4a86e01fdcfa46a4589bb1b5e0cfaad8629"/>
    <w:p>
      <w:pPr>
        <w:pStyle w:val="Heading4"/>
      </w:pPr>
      <w:r>
        <w:t xml:space="preserve">5.2.1. 2026 Land Sector and Removals (LSR) Standard Update</w:t>
      </w:r>
    </w:p>
    <w:p>
      <w:pPr>
        <w:pStyle w:val="FirstParagraph"/>
      </w:pPr>
      <w:r>
        <w:t xml:space="preserve">The GHG Protocol\'s Land Sector and Removals (LSR) Standard, effective January 1, 2027, sets requirements for corporate GHG accounting covering emissions and removals from agricultural and land use activities. While</w:t>
      </w:r>
      <w:r>
        <w:t xml:space="preserve"> </w:t>
      </w:r>
      <w:r>
        <w:rPr>
          <w:bCs/>
          <w:b/>
        </w:rPr>
        <w:t xml:space="preserve">sluuxqwudn</w:t>
      </w:r>
      <w:r>
        <w:t xml:space="preserve">\'s direct production may not involve significant land-use change or agricultural processes, the LSR Standard is acknowledged for its future impact on upstream material sourcing, especially for biogenic products. Any agricultural inputs or materials derived from land-intensive processes in the future would require detailed assessment under this standard. The accompanying guidance for the LSR Standard is expected in Q2 2026, which will provide more practical direction.</w:t>
      </w:r>
    </w:p>
    <w:bookmarkEnd w:id="39"/>
    <w:bookmarkStart w:id="40" w:name="scope-3-compliance-95-coverage"/>
    <w:p>
      <w:pPr>
        <w:pStyle w:val="Heading4"/>
      </w:pPr>
      <w:r>
        <w:t xml:space="preserve">5.2.2. Scope 3 Compliance (95% Coverage)</w:t>
      </w:r>
    </w:p>
    <w:p>
      <w:pPr>
        <w:pStyle w:val="FirstParagraph"/>
      </w:pPr>
      <w:r>
        <w:t xml:space="preserve">The 2026 GHG Protocol revisions propose a mandatory 95% completeness threshold for Scope 3 emissions to claim conformance. This analysis aims for comprehensive Scope 3 coverage by including all relevant categories based on the provided parameters: Purchased Goods and Services (materials), Upstream Transportation and Distribution (inbound materials), Downstream Transportation and Distribution (outbound product, last-mile), Use of Sold Products, and End-of-Life Treatment of Sold Products. By addressing these major categories, the report strives to achieve the 95% coverage requirement, focusing on the most material emission sources. Any exclusions would be minor and would require transparent disclosure and methodological justification as per the updated standard.</w:t>
      </w:r>
    </w:p>
    <w:p>
      <w:r>
        <w:pict>
          <v:rect style="width:0;height:1.5pt" o:hralign="center" o:hrstd="t" o:hr="t"/>
        </w:pict>
      </w:r>
    </w:p>
    <w:bookmarkEnd w:id="40"/>
    <w:bookmarkEnd w:id="41"/>
    <w:bookmarkEnd w:id="42"/>
    <w:bookmarkStart w:id="43" w:name="recommendations"/>
    <w:p>
      <w:pPr>
        <w:pStyle w:val="Heading2"/>
      </w:pPr>
      <w:r>
        <w:t xml:space="preserve">Recommendations</w:t>
      </w:r>
    </w:p>
    <w:p>
      <w:pPr>
        <w:numPr>
          <w:ilvl w:val="0"/>
          <w:numId w:val="1008"/>
        </w:numPr>
        <w:pStyle w:val="Compact"/>
      </w:pPr>
      <w:r>
        <w:rPr>
          <w:bCs/>
          <w:b/>
        </w:rPr>
        <w:t xml:space="preserve">Focus on Use Phase Efficiency:</w:t>
      </w:r>
      <w:r>
        <w:t xml:space="preserve"> </w:t>
      </w:r>
      <w:r>
        <w:t xml:space="preserve">Given the significant emissions from the use phase, prioritize research and development into more energy-efficient designs for</w:t>
      </w:r>
      <w:r>
        <w:t xml:space="preserve"> </w:t>
      </w:r>
      <w:r>
        <w:rPr>
          <w:bCs/>
          <w:b/>
        </w:rPr>
        <w:t xml:space="preserve">sluuxqwudn</w:t>
      </w:r>
      <w:r>
        <w:t xml:space="preserve"> </w:t>
      </w:r>
      <w:r>
        <w:t xml:space="preserve">or explore product-as-a-service models that incentivize energy-efficient usage and maintenance.</w:t>
      </w:r>
    </w:p>
    <w:p>
      <w:pPr>
        <w:numPr>
          <w:ilvl w:val="0"/>
          <w:numId w:val="1008"/>
        </w:numPr>
        <w:pStyle w:val="Compact"/>
      </w:pPr>
      <w:r>
        <w:rPr>
          <w:bCs/>
          <w:b/>
        </w:rPr>
        <w:t xml:space="preserve">Promote Renewable Energy Adoption:</w:t>
      </w:r>
      <w:r>
        <w:t xml:space="preserve"> </w:t>
      </w:r>
      <w:r>
        <w:t xml:space="preserve">Encourage customers to power</w:t>
      </w:r>
      <w:r>
        <w:t xml:space="preserve"> </w:t>
      </w:r>
      <w:r>
        <w:rPr>
          <w:bCs/>
          <w:b/>
        </w:rPr>
        <w:t xml:space="preserve">sluuxqwudn</w:t>
      </w:r>
      <w:r>
        <w:t xml:space="preserve"> </w:t>
      </w:r>
      <w:r>
        <w:t xml:space="preserve">with renewable energy through awareness campaigns or partnerships, further reducing the downstream Scope 3 footprint.</w:t>
      </w:r>
    </w:p>
    <w:p>
      <w:pPr>
        <w:numPr>
          <w:ilvl w:val="0"/>
          <w:numId w:val="1008"/>
        </w:numPr>
        <w:pStyle w:val="Compact"/>
      </w:pPr>
      <w:r>
        <w:rPr>
          <w:bCs/>
          <w:b/>
        </w:rPr>
        <w:t xml:space="preserve">Supplier Engagement for Upstream Data:</w:t>
      </w:r>
      <w:r>
        <w:t xml:space="preserve"> </w:t>
      </w:r>
      <w:r>
        <w:t xml:space="preserve">Engage with material and component suppliers to collect primary emission data, improving the accuracy of Scope 3 upstream calculations and identifying specific reduction opportunities.</w:t>
      </w:r>
    </w:p>
    <w:p>
      <w:pPr>
        <w:numPr>
          <w:ilvl w:val="0"/>
          <w:numId w:val="1008"/>
        </w:numPr>
        <w:pStyle w:val="Compact"/>
      </w:pPr>
      <w:r>
        <w:rPr>
          <w:bCs/>
          <w:b/>
        </w:rPr>
        <w:t xml:space="preserve">Optimize Logistics:</w:t>
      </w:r>
      <w:r>
        <w:t xml:space="preserve"> </w:t>
      </w:r>
      <w:r>
        <w:t xml:space="preserve">Investigate more efficient transport modes or routes for both inbound and outbound logistics, especially for long-distance road freight, or explore local sourcing options where feasible.</w:t>
      </w:r>
    </w:p>
    <w:p>
      <w:pPr>
        <w:numPr>
          <w:ilvl w:val="0"/>
          <w:numId w:val="1008"/>
        </w:numPr>
        <w:pStyle w:val="Compact"/>
      </w:pPr>
      <w:r>
        <w:rPr>
          <w:bCs/>
          <w:b/>
        </w:rPr>
        <w:t xml:space="preserve">Strengthen Circularity:</w:t>
      </w:r>
      <w:r>
        <w:t xml:space="preserve"> </w:t>
      </w:r>
      <w:r>
        <w:t xml:space="preserve">Continue to expand and promote the existing</w:t>
      </w:r>
      <w:r>
        <w:t xml:space="preserve"> </w:t>
      </w:r>
      <w:r>
        <w:rPr>
          <w:bCs/>
          <w:b/>
        </w:rPr>
        <w:t xml:space="preserve">Product buy-back and refurbishment program</w:t>
      </w:r>
      <w:r>
        <w:t xml:space="preserve"> </w:t>
      </w:r>
      <w:r>
        <w:t xml:space="preserve">(</w:t>
      </w:r>
      <w:r>
        <w:rPr>
          <w:bCs/>
          <w:b/>
        </w:rPr>
        <w:t xml:space="preserve">mrnmuphkvp</w:t>
      </w:r>
      <w:r>
        <w:t xml:space="preserve">) to maximize product lifespan and material recovery, further enhancing the positive impact of high recyclability.</w:t>
      </w:r>
    </w:p>
    <w:p>
      <w:r>
        <w:pict>
          <v:rect style="width:0;height:1.5pt" o:hralign="center" o:hrstd="t" o:hr="t"/>
        </w:pict>
      </w:r>
    </w:p>
    <w:p>
      <w:pPr>
        <w:pStyle w:val="FirstParagraph"/>
      </w:pPr>
      <w:r>
        <w:t xml:space="preserve">Confidential - Internal Use Only | Page</w:t>
      </w:r>
      <w:r>
        <w:t xml:space="preserve"> </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sluuxqwudn</dc:title>
  <dc:creator/>
  <dc:description>Detailed Product Carbon Footprint (PCF) analysis report for sluuxqwudn, performed by mdwgqfkkfn, Senior Sustainability Consultant, for ypkgvwglxp. Adhering to GHG Protocol, including 2026 LSR update and Scope 3 compliance.</dc:description>
  <dc:language>en</dc:language>
  <cp:keywords/>
  <dcterms:created xsi:type="dcterms:W3CDTF">2026-07-15T09:39:11Z</dcterms:created>
  <dcterms:modified xsi:type="dcterms:W3CDTF">2026-07-15T09:39:11Z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