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sltkmjjerz</w:t>
      </w:r>
    </w:p>
    <w:p>
      <w:pPr>
        <w:pStyle w:val="FirstParagraph"/>
      </w:pPr>
      <w:r>
        <w:t xml:space="preserve">carboncalcpcf.com</w:t>
      </w:r>
    </w:p>
    <w:bookmarkStart w:id="21" w:name="product-carbon-footprint-report"/>
    <w:p>
      <w:pPr>
        <w:pStyle w:val="Heading1"/>
      </w:pPr>
      <w:r>
        <w:t xml:space="preserve">Product Carbon Footprint Report</w:t>
      </w:r>
    </w:p>
    <w:bookmarkStart w:id="20" w:name="for-sltkmjjerz"/>
    <w:p>
      <w:pPr>
        <w:pStyle w:val="Heading2"/>
      </w:pPr>
      <w:r>
        <w:t xml:space="preserve">For: sltkmjjerz</w:t>
      </w:r>
    </w:p>
    <w:p>
      <w:pPr>
        <w:pStyle w:val="FirstParagraph"/>
      </w:pPr>
      <w:r>
        <w:rPr>
          <w:bCs/>
          <w:b/>
        </w:rPr>
        <w:t xml:space="preserve">Company Name:</w:t>
      </w:r>
      <w:r>
        <w:t xml:space="preserve"> </w:t>
      </w:r>
      <w:r>
        <w:t xml:space="preserve">ovlwjqsyev</w:t>
      </w:r>
    </w:p>
    <w:p>
      <w:pPr>
        <w:pStyle w:val="BodyText"/>
      </w:pPr>
      <w:r>
        <w:rPr>
          <w:bCs/>
          <w:b/>
        </w:rPr>
        <w:t xml:space="preserve">Senior Sustainability Consultant:</w:t>
      </w:r>
      <w:r>
        <w:t xml:space="preserve"> </w:t>
      </w:r>
      <w:r>
        <w:t xml:space="preserve">lwlqwtxwxe</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carbon footprint may vary depending on real-time operational data and market conditions not captured in this analysis.</w:t>
      </w:r>
    </w:p>
    <w:p>
      <w:pPr>
        <w:pStyle w:val="BodyText"/>
      </w:pPr>
      <w:r>
        <w:t xml:space="preserve">Generated Date: May 18, 2026</w:t>
      </w:r>
    </w:p>
    <w:bookmarkEnd w:id="20"/>
    <w:bookmarkEnd w:id="21"/>
    <w:bookmarkStart w:id="56"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May 18, 2026</w: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sltkmjjerz</w:t>
      </w:r>
      <w:r>
        <w:t xml:space="preserve"> </w:t>
      </w:r>
      <w:r>
        <w:t xml:space="preserve">manufactured by</w:t>
      </w:r>
      <w:r>
        <w:t xml:space="preserve"> </w:t>
      </w:r>
      <w:r>
        <w:rPr>
          <w:bCs/>
          <w:b/>
        </w:rPr>
        <w:t xml:space="preserve">ovlwjqsyev</w:t>
      </w:r>
      <w:r>
        <w:t xml:space="preserve">. The assessment was conducted by</w:t>
      </w:r>
      <w:r>
        <w:t xml:space="preserve"> </w:t>
      </w:r>
      <w:r>
        <w:rPr>
          <w:bCs/>
          <w:b/>
        </w:rPr>
        <w:t xml:space="preserve">lwlqwtxwxe</w:t>
      </w:r>
      <w:r>
        <w:t xml:space="preserve">, Senior Sustainability Consultant, in accordance with the Greenhouse Gas (GHG) Protocol. The analysis covers the entire lifecycle of the product, from raw material acquisition to end-of-life, categorizing emissions into Scope 1, Scope 2, and Scope 3. Key findings highlight emission hotspots across the product\'s lifecycle, providing strategic insights for emission reduction efforts and supporting ovlwjqsyev\'s sustainability objectives.</w:t>
      </w:r>
    </w:p>
    <w:bookmarkEnd w:id="22"/>
    <w:p>
      <w:r>
        <w:pict>
          <v:rect style="width:0;height:1.5pt" o:hralign="center" o:hrstd="t" o:hr="t"/>
        </w:pict>
      </w:r>
    </w:p>
    <w:bookmarkStart w:id="27" w:name="methodology-and-scope-definition"/>
    <w:p>
      <w:pPr>
        <w:pStyle w:val="Heading2"/>
      </w:pPr>
      <w:r>
        <w:t xml:space="preserve">1. Methodology and Scope Definition</w:t>
      </w:r>
    </w:p>
    <w:p>
      <w:pPr>
        <w:pStyle w:val="FirstParagraph"/>
      </w:pPr>
      <w:r>
        <w:t xml:space="preserve">This Product Carbon Footprint (PCF) analysis adheres to the five-step methodology recommended for comprehensive environmental assessments:</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p>
      <w:pPr>
        <w:pStyle w:val="FirstParagraph"/>
      </w:pPr>
      <w:r>
        <w:t xml:space="preserve">The reporting strictly complies with the</w:t>
      </w:r>
      <w:r>
        <w:t xml:space="preserve"> </w:t>
      </w:r>
      <w:r>
        <w:rPr>
          <w:bCs/>
          <w:b/>
        </w:rPr>
        <w:t xml:space="preserve">GHG Protocol Corporate Accounting and Reporting Standard</w:t>
      </w:r>
      <w:r>
        <w:t xml:space="preserve">, ensuring transparent and consistent quantification of greenhouse gas emissions.</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sltkmjjerz. All emissions are calculated and expressed per this unit, enabling clear comparison and scalability.</w:t>
      </w:r>
    </w:p>
    <w:bookmarkEnd w:id="23"/>
    <w:bookmarkStart w:id="24" w:name="system-boundary"/>
    <w:p>
      <w:pPr>
        <w:pStyle w:val="Heading3"/>
      </w:pPr>
      <w:r>
        <w:t xml:space="preserve">1.2. System Boundary</w:t>
      </w:r>
    </w:p>
    <w:p>
      <w:pPr>
        <w:pStyle w:val="FirstParagraph"/>
      </w:pPr>
      <w:r>
        <w:t xml:space="preserve">As per the parameters, the primary system boundary is</w:t>
      </w:r>
      <w:r>
        <w:t xml:space="preserve"> </w:t>
      </w:r>
      <w:r>
        <w:rPr>
          <w:bCs/>
          <w:b/>
        </w:rPr>
        <w:t xml:space="preserve">factory_gate</w:t>
      </w:r>
      <w:r>
        <w:t xml:space="preserve">. However, to provide a comprehensive understanding of the product\'s total environmental impact and align with a cradle-to-grave perspective, the analysis has been extended to include the Use Phase and End-of-Life (EoL) scenarios. This extension allows for a more holistic view, even if the primary reporting focus remains on emissions up to the factory gate for immediate operational control and reporting.</w:t>
      </w:r>
    </w:p>
    <w:p>
      <w:pPr>
        <w:pStyle w:val="BodyText"/>
      </w:pPr>
      <w:r>
        <w:t xml:space="preserve">The following lifecycle stages are included within the system boundary:</w:t>
      </w:r>
    </w:p>
    <w:p>
      <w:pPr>
        <w:numPr>
          <w:ilvl w:val="0"/>
          <w:numId w:val="1002"/>
        </w:numPr>
        <w:pStyle w:val="Compact"/>
      </w:pPr>
      <w:r>
        <w:rPr>
          <w:bCs/>
          <w:b/>
        </w:rPr>
        <w:t xml:space="preserve">Raw Material Acquisition &amp; Pre-processing:</w:t>
      </w:r>
      <w:r>
        <w:t xml:space="preserve"> </w:t>
      </w:r>
      <w:r>
        <w:t xml:space="preserve">Extraction, processing, and refining of raw materials.</w:t>
      </w:r>
    </w:p>
    <w:p>
      <w:pPr>
        <w:numPr>
          <w:ilvl w:val="0"/>
          <w:numId w:val="1002"/>
        </w:numPr>
        <w:pStyle w:val="Compact"/>
      </w:pPr>
      <w:r>
        <w:rPr>
          <w:bCs/>
          <w:b/>
        </w:rPr>
        <w:t xml:space="preserve">Manufacturing:</w:t>
      </w:r>
      <w:r>
        <w:t xml:space="preserve"> </w:t>
      </w:r>
      <w:r>
        <w:t xml:space="preserve">Production and assembly processes at ovlwjqsyev\'s facility.</w:t>
      </w:r>
    </w:p>
    <w:p>
      <w:pPr>
        <w:numPr>
          <w:ilvl w:val="0"/>
          <w:numId w:val="1002"/>
        </w:numPr>
        <w:pStyle w:val="Compact"/>
      </w:pPr>
      <w:r>
        <w:rPr>
          <w:bCs/>
          <w:b/>
        </w:rPr>
        <w:t xml:space="preserve">Transportation:</w:t>
      </w:r>
      <w:r>
        <w:t xml:space="preserve"> </w:t>
      </w:r>
      <w:r>
        <w:t xml:space="preserve">Inbound logistics (materials to factory), outbound logistics (product to distribution, last-mile).</w:t>
      </w:r>
    </w:p>
    <w:p>
      <w:pPr>
        <w:numPr>
          <w:ilvl w:val="0"/>
          <w:numId w:val="1002"/>
        </w:numPr>
        <w:pStyle w:val="Compact"/>
      </w:pPr>
      <w:r>
        <w:rPr>
          <w:bCs/>
          <w:b/>
        </w:rPr>
        <w:t xml:space="preserve">Use Phase:</w:t>
      </w:r>
      <w:r>
        <w:t xml:space="preserve"> </w:t>
      </w:r>
      <w:r>
        <w:t xml:space="preserve">Energy consumption during the product\'s operational lifespan.</w:t>
      </w:r>
    </w:p>
    <w:p>
      <w:pPr>
        <w:numPr>
          <w:ilvl w:val="0"/>
          <w:numId w:val="1002"/>
        </w:numPr>
        <w:pStyle w:val="Compact"/>
      </w:pPr>
      <w:r>
        <w:rPr>
          <w:bCs/>
          <w:b/>
        </w:rPr>
        <w:t xml:space="preserve">End-of-Life:</w:t>
      </w:r>
      <w:r>
        <w:t xml:space="preserve"> </w:t>
      </w:r>
      <w:r>
        <w:t xml:space="preserve">Disposal, recycling, and recovery processes.</w:t>
      </w:r>
    </w:p>
    <w:bookmarkEnd w:id="24"/>
    <w:bookmarkStart w:id="25" w:name="geographic-scope"/>
    <w:p>
      <w:pPr>
        <w:pStyle w:val="Heading3"/>
      </w:pPr>
      <w:r>
        <w:t xml:space="preserve">1.3. Geographic Scope</w:t>
      </w:r>
    </w:p>
    <w:p>
      <w:pPr>
        <w:pStyle w:val="FirstParagraph"/>
      </w:pPr>
      <w:r>
        <w:t xml:space="preserve">The</w:t>
      </w:r>
      <w:r>
        <w:t xml:space="preserve"> </w:t>
      </w:r>
      <w:r>
        <w:rPr>
          <w:bCs/>
          <w:b/>
        </w:rPr>
        <w:t xml:space="preserve">Final Production Country</w:t>
      </w:r>
      <w:r>
        <w:t xml:space="preserve"> </w:t>
      </w:r>
      <w:r>
        <w:t xml:space="preserve">for sltkmjjerz is</w:t>
      </w:r>
      <w:r>
        <w:t xml:space="preserve"> </w:t>
      </w:r>
      <w:r>
        <w:rPr>
          <w:bCs/>
          <w:b/>
        </w:rPr>
        <w:t xml:space="preserve">China</w:t>
      </w:r>
      <w:r>
        <w:t xml:space="preserve">. The</w:t>
      </w:r>
      <w:r>
        <w:t xml:space="preserve"> </w:t>
      </w:r>
      <w:r>
        <w:rPr>
          <w:bCs/>
          <w:b/>
        </w:rPr>
        <w:t xml:space="preserve">Supply Chain Focus</w:t>
      </w:r>
      <w:r>
        <w:t xml:space="preserve"> </w:t>
      </w:r>
      <w:r>
        <w:t xml:space="preserve">is primarily</w:t>
      </w:r>
      <w:r>
        <w:t xml:space="preserve"> </w:t>
      </w:r>
      <w:r>
        <w:rPr>
          <w:bCs/>
          <w:b/>
        </w:rPr>
        <w:t xml:space="preserve">Europe Focused</w:t>
      </w:r>
      <w:r>
        <w:t xml:space="preserve">, implying that raw material sourcing and potentially some pre-processing may occur within Europe before final assembly in China, and distribution includes a European market focus.</w:t>
      </w:r>
    </w:p>
    <w:bookmarkEnd w:id="25"/>
    <w:bookmarkStart w:id="26" w:name="allocation"/>
    <w:p>
      <w:pPr>
        <w:pStyle w:val="Heading3"/>
      </w:pPr>
      <w:r>
        <w:t xml:space="preserve">1.4. Allocation</w:t>
      </w:r>
    </w:p>
    <w:p>
      <w:pPr>
        <w:pStyle w:val="FirstParagraph"/>
      </w:pPr>
      <w:r>
        <w:t xml:space="preserve">Emissions are allocated to the product sltkmjjerz using a mass-based allocation method for shared processes, where applicable. For co-products or by-products, economic allocation would be considered, though not explicitly required for this specific product\'s scope. All emissions are converted to carbon dioxide equivalents (CO2e) using the Global Warming Potential (GWP100) factors from the IPCC Assessment Reports (e.g., AR5 or AR6, depending on factor database version).</w:t>
      </w:r>
    </w:p>
    <w:p>
      <w:r>
        <w:pict>
          <v:rect style="width:0;height:1.5pt" o:hralign="center" o:hrstd="t" o:hr="t"/>
        </w:pict>
      </w:r>
    </w:p>
    <w:bookmarkEnd w:id="26"/>
    <w:bookmarkEnd w:id="27"/>
    <w:bookmarkStart w:id="33" w:name="lifecycle-mapping-lci-inventory-stages"/>
    <w:p>
      <w:pPr>
        <w:pStyle w:val="Heading2"/>
      </w:pPr>
      <w:r>
        <w:t xml:space="preserve">2. Lifecycle Mapping (LCI Inventory Stages)</w:t>
      </w:r>
    </w:p>
    <w:p>
      <w:pPr>
        <w:pStyle w:val="FirstParagraph"/>
      </w:pPr>
      <w:r>
        <w:t xml:space="preserve">The lifecycle of sltkmjjerz is mapped across five main stages to identify all relevant emission sources:</w:t>
      </w:r>
    </w:p>
    <w:bookmarkStart w:id="28" w:name="Xc468ded5a7fa091b9c9a81ca7124d562fc085dd"/>
    <w:p>
      <w:pPr>
        <w:pStyle w:val="Heading3"/>
      </w:pPr>
      <w:r>
        <w:t xml:space="preserve">2.1. Materials Acquisition &amp; Pre-processing (Upstream - Scope 3)</w:t>
      </w:r>
    </w:p>
    <w:p>
      <w:pPr>
        <w:pStyle w:val="FirstParagraph"/>
      </w:pPr>
      <w:r>
        <w:t xml:space="preserve">This stage includes the extraction of raw materials, their initial processing, and transport to manufacturing sites. This is a significant contributor to Scope 3 emissions for many products.</w:t>
      </w:r>
    </w:p>
    <w:bookmarkEnd w:id="28"/>
    <w:bookmarkStart w:id="29" w:name="Xf69ac4bda474af6997d7dbed9b8c0179eead323"/>
    <w:p>
      <w:pPr>
        <w:pStyle w:val="Heading3"/>
      </w:pPr>
      <w:r>
        <w:t xml:space="preserve">2.2. Manufacturing (Core Operations - Scope 1 &amp; 2)</w:t>
      </w:r>
    </w:p>
    <w:p>
      <w:pPr>
        <w:pStyle w:val="FirstParagraph"/>
      </w:pPr>
      <w:r>
        <w:t xml:space="preserve">Encompasses all activities at ovlwjqsyev\'s production facility in China, including energy consumption for machinery, heating, and cooling. Direct emissions from on-site fuel combustion are Scope 1. Indirect emissions from purchased electricity are Scope 2.</w:t>
      </w:r>
    </w:p>
    <w:bookmarkEnd w:id="29"/>
    <w:bookmarkStart w:id="30" w:name="X11f5d096783fb9d2822b064c95541c3fbb06886"/>
    <w:p>
      <w:pPr>
        <w:pStyle w:val="Heading3"/>
      </w:pPr>
      <w:r>
        <w:t xml:space="preserve">2.3. Transportation (Upstream &amp; Downstream - Scope 3)</w:t>
      </w:r>
    </w:p>
    <w:p>
      <w:pPr>
        <w:pStyle w:val="FirstParagraph"/>
      </w:pPr>
      <w:r>
        <w:t xml:space="preserve">Covers all freight movements:</w:t>
      </w:r>
    </w:p>
    <w:p>
      <w:pPr>
        <w:numPr>
          <w:ilvl w:val="0"/>
          <w:numId w:val="1003"/>
        </w:numPr>
        <w:pStyle w:val="Compact"/>
      </w:pPr>
      <w:r>
        <w:rPr>
          <w:bCs/>
          <w:b/>
        </w:rPr>
        <w:t xml:space="preserve">Upstream Transportation:</w:t>
      </w:r>
      <w:r>
        <w:t xml:space="preserve"> </w:t>
      </w:r>
      <w:r>
        <w:t xml:space="preserve">Movement of raw materials and components from suppliers (Europe Focused) to the manufacturing plant in China.</w:t>
      </w:r>
    </w:p>
    <w:p>
      <w:pPr>
        <w:numPr>
          <w:ilvl w:val="0"/>
          <w:numId w:val="1003"/>
        </w:numPr>
        <w:pStyle w:val="Compact"/>
      </w:pPr>
      <w:r>
        <w:rPr>
          <w:bCs/>
          <w:b/>
        </w:rPr>
        <w:t xml:space="preserve">Downstream Transportation:</w:t>
      </w:r>
      <w:r>
        <w:t xml:space="preserve"> </w:t>
      </w:r>
      <w:r>
        <w:t xml:space="preserve">Movement of the finished product from the factory in China to distribution centers and through last-mile delivery channels to the end-user (Europe Focused).</w:t>
      </w:r>
    </w:p>
    <w:p>
      <w:pPr>
        <w:pStyle w:val="FirstParagraph"/>
      </w:pPr>
      <w:r>
        <w:t xml:space="preserve">These are categorized under Scope 3, specifically "Upstream transportation and distribution" (Category 4) and "Downstream transportation and distribution" (Category 9).</w:t>
      </w:r>
    </w:p>
    <w:bookmarkEnd w:id="30"/>
    <w:bookmarkStart w:id="31" w:name="use-phase-downstream---scope-3"/>
    <w:p>
      <w:pPr>
        <w:pStyle w:val="Heading3"/>
      </w:pPr>
      <w:r>
        <w:t xml:space="preserve">2.4. Use Phase (Downstream - Scope 3)</w:t>
      </w:r>
    </w:p>
    <w:p>
      <w:pPr>
        <w:pStyle w:val="FirstParagraph"/>
      </w:pPr>
      <w:r>
        <w:t xml:space="preserve">Emissions generated during the active use of the product by the end-consumer over its lifespan, primarily from energy consumption. This falls under Scope 3, "Use of sold products" (Category 11).</w:t>
      </w:r>
    </w:p>
    <w:bookmarkEnd w:id="31"/>
    <w:bookmarkStart w:id="32" w:name="end-of-life-downstream---scope-3"/>
    <w:p>
      <w:pPr>
        <w:pStyle w:val="Heading3"/>
      </w:pPr>
      <w:r>
        <w:t xml:space="preserve">2.5. End-of-Life (Downstream - Scope 3)</w:t>
      </w:r>
    </w:p>
    <w:p>
      <w:pPr>
        <w:pStyle w:val="FirstParagraph"/>
      </w:pPr>
      <w:r>
        <w:t xml:space="preserve">Covers processes at the end of the product\'s life, including collection, sorting, recycling, incineration, and landfilling. This is categorized as Scope 3, "End-of-life treatment of sold products" (Category 12).</w:t>
      </w:r>
    </w:p>
    <w:p>
      <w:r>
        <w:pict>
          <v:rect style="width:0;height:1.5pt" o:hralign="center" o:hrstd="t" o:hr="t"/>
        </w:pict>
      </w:r>
    </w:p>
    <w:bookmarkEnd w:id="32"/>
    <w:bookmarkEnd w:id="33"/>
    <w:bookmarkStart w:id="39" w:name="data-collection-and-inputs"/>
    <w:p>
      <w:pPr>
        <w:pStyle w:val="Heading2"/>
      </w:pPr>
      <w:r>
        <w:t xml:space="preserve">3. Data Collection and Inputs</w:t>
      </w:r>
    </w:p>
    <w:p>
      <w:pPr>
        <w:pStyle w:val="FirstParagraph"/>
      </w:pPr>
      <w:r>
        <w:t xml:space="preserve">Data collection involved utilizing specific parameters provided by ovlwjqsyev and supplementing with industry-average emission factors from recognized databases like Ecoinvent and DEFRA for missing primary data. This approach ensures comprehensive coverage and adherence to the 95% Scope 3 coverage requirement.</w:t>
      </w:r>
    </w:p>
    <w:bookmarkStart w:id="34" w:name="Xf9a8f781ce77db0e23ffa9e473458267c5b7e48"/>
    <w:p>
      <w:pPr>
        <w:pStyle w:val="Heading3"/>
      </w:pPr>
      <w:r>
        <w:t xml:space="preserve">3.1. Detailed Bill of Materials (BOM) for sltkmjjerz (Primary Data)</w:t>
      </w:r>
    </w:p>
    <w:p>
      <w:pPr>
        <w:pStyle w:val="FirstParagraph"/>
      </w:pPr>
      <w:r>
        <w:t xml:space="preserve">The following detailed Bill of Materials (jkvzephw) was used for high-accuracy material impact calculation. Emission Factors (EFs) are indicative and based on Ecoinvent v3.12 data for similar processes and materials, adjusted to kg CO2e/unit unless specified otherwise. Total Carbon is calculated as Qty *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Injection Molding, Virgin</w:t>
            </w:r>
          </w:p>
        </w:tc>
        <w:tc>
          <w:tcPr/>
          <w:p>
            <w:pPr>
              <w:pStyle w:val="Compact"/>
              <w:jc w:val="left"/>
            </w:pPr>
            <w:r>
              <w:t xml:space="preserve">0.35</w:t>
            </w:r>
          </w:p>
        </w:tc>
        <w:tc>
          <w:tcPr/>
          <w:p>
            <w:pPr>
              <w:pStyle w:val="Compact"/>
              <w:jc w:val="left"/>
            </w:pPr>
            <w:r>
              <w:t xml:space="preserve">kg</w:t>
            </w:r>
          </w:p>
        </w:tc>
        <w:tc>
          <w:tcPr/>
          <w:p>
            <w:pPr>
              <w:pStyle w:val="Compact"/>
              <w:jc w:val="left"/>
            </w:pPr>
            <w:r>
              <w:t xml:space="preserve">3.20</w:t>
            </w:r>
          </w:p>
        </w:tc>
        <w:tc>
          <w:tcPr/>
          <w:p>
            <w:pPr>
              <w:pStyle w:val="Compact"/>
              <w:jc w:val="left"/>
            </w:pPr>
            <w:r>
              <w:t xml:space="preserve">1.120</w:t>
            </w:r>
          </w:p>
        </w:tc>
      </w:tr>
      <w:tr>
        <w:tc>
          <w:tcPr/>
          <w:p>
            <w:pPr>
              <w:pStyle w:val="Compact"/>
              <w:jc w:val="left"/>
            </w:pPr>
            <w:r>
              <w:t xml:space="preserve">M002</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 Primary</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10.50</w:t>
            </w:r>
          </w:p>
        </w:tc>
        <w:tc>
          <w:tcPr/>
          <w:p>
            <w:pPr>
              <w:pStyle w:val="Compact"/>
              <w:jc w:val="left"/>
            </w:pPr>
            <w:r>
              <w:t xml:space="preserve">1.575</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 Standard</w:t>
            </w:r>
          </w:p>
        </w:tc>
        <w:tc>
          <w:tcPr/>
          <w:p>
            <w:pPr>
              <w:pStyle w:val="Compact"/>
              <w:jc w:val="left"/>
            </w:pPr>
            <w:r>
              <w:t xml:space="preserve">0.08</w:t>
            </w:r>
          </w:p>
        </w:tc>
        <w:tc>
          <w:tcPr/>
          <w:p>
            <w:pPr>
              <w:pStyle w:val="Compact"/>
              <w:jc w:val="left"/>
            </w:pPr>
            <w:r>
              <w:t xml:space="preserve">unit</w:t>
            </w:r>
          </w:p>
        </w:tc>
        <w:tc>
          <w:tcPr/>
          <w:p>
            <w:pPr>
              <w:pStyle w:val="Compact"/>
              <w:jc w:val="left"/>
            </w:pPr>
            <w:r>
              <w:t xml:space="preserve">8.50</w:t>
            </w:r>
          </w:p>
        </w:tc>
        <w:tc>
          <w:tcPr/>
          <w:p>
            <w:pPr>
              <w:pStyle w:val="Compact"/>
              <w:jc w:val="left"/>
            </w:pPr>
            <w:r>
              <w:t xml:space="preserve">0.680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Production, Standard</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12.00</w:t>
            </w:r>
          </w:p>
        </w:tc>
        <w:tc>
          <w:tcPr/>
          <w:p>
            <w:pPr>
              <w:pStyle w:val="Compact"/>
              <w:jc w:val="left"/>
            </w:pPr>
            <w:r>
              <w:t xml:space="preserve">0.600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 Primary</w:t>
            </w:r>
          </w:p>
        </w:tc>
        <w:tc>
          <w:tcPr/>
          <w:p>
            <w:pPr>
              <w:pStyle w:val="Compact"/>
              <w:jc w:val="left"/>
            </w:pPr>
            <w:r>
              <w:t xml:space="preserve">0.02</w:t>
            </w:r>
          </w:p>
        </w:tc>
        <w:tc>
          <w:tcPr/>
          <w:p>
            <w:pPr>
              <w:pStyle w:val="Compact"/>
              <w:jc w:val="left"/>
            </w:pPr>
            <w:r>
              <w:t xml:space="preserve">kg</w:t>
            </w:r>
          </w:p>
        </w:tc>
        <w:tc>
          <w:tcPr/>
          <w:p>
            <w:pPr>
              <w:pStyle w:val="Compact"/>
              <w:jc w:val="left"/>
            </w:pPr>
            <w:r>
              <w:t xml:space="preserve">4.80</w:t>
            </w:r>
          </w:p>
        </w:tc>
        <w:tc>
          <w:tcPr/>
          <w:p>
            <w:pPr>
              <w:pStyle w:val="Compact"/>
              <w:jc w:val="left"/>
            </w:pPr>
            <w:r>
              <w:t xml:space="preserve">0.096</w:t>
            </w:r>
          </w:p>
        </w:tc>
      </w:tr>
      <w:tr>
        <w:tc>
          <w:tcPr/>
          <w:p>
            <w:pPr>
              <w:pStyle w:val="Compact"/>
              <w:jc w:val="left"/>
            </w:pPr>
            <w:r>
              <w:t xml:space="preserve">M006</w:t>
            </w:r>
          </w:p>
        </w:tc>
        <w:tc>
          <w:tcPr/>
          <w:p>
            <w:pPr>
              <w:pStyle w:val="Compact"/>
              <w:jc w:val="left"/>
            </w:pPr>
            <w:r>
              <w:t xml:space="preserve">Electronic Components (Assorted)</w:t>
            </w:r>
          </w:p>
        </w:tc>
        <w:tc>
          <w:tcPr/>
          <w:p>
            <w:pPr>
              <w:pStyle w:val="Compact"/>
              <w:jc w:val="left"/>
            </w:pPr>
            <w:r>
              <w:t xml:space="preserve">Electronics</w:t>
            </w:r>
          </w:p>
        </w:tc>
        <w:tc>
          <w:tcPr/>
          <w:p>
            <w:pPr>
              <w:pStyle w:val="Compact"/>
              <w:jc w:val="left"/>
            </w:pPr>
            <w:r>
              <w:t xml:space="preserve">Manufacturing, Generic</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7.00</w:t>
            </w:r>
          </w:p>
        </w:tc>
        <w:tc>
          <w:tcPr/>
          <w:p>
            <w:pPr>
              <w:pStyle w:val="Compact"/>
              <w:jc w:val="left"/>
            </w:pPr>
            <w:r>
              <w:t xml:space="preserve">0.700</w:t>
            </w:r>
          </w:p>
        </w:tc>
      </w:tr>
      <w:tr>
        <w:tc>
          <w:tcPr/>
          <w:p>
            <w:pPr>
              <w:pStyle w:val="Compact"/>
              <w:jc w:val="left"/>
            </w:pPr>
            <w:r>
              <w:t xml:space="preserve">M007</w:t>
            </w:r>
          </w:p>
        </w:tc>
        <w:tc>
          <w:tcPr/>
          <w:p>
            <w:pPr>
              <w:pStyle w:val="Compact"/>
              <w:jc w:val="left"/>
            </w:pPr>
            <w:r>
              <w:t xml:space="preserve">Packaging (Recycled Cardboard)</w:t>
            </w:r>
          </w:p>
        </w:tc>
        <w:tc>
          <w:tcPr/>
          <w:p>
            <w:pPr>
              <w:pStyle w:val="Compact"/>
              <w:jc w:val="left"/>
            </w:pPr>
            <w:r>
              <w:t xml:space="preserve">Paper/Packaging</w:t>
            </w:r>
          </w:p>
        </w:tc>
        <w:tc>
          <w:tcPr/>
          <w:p>
            <w:pPr>
              <w:pStyle w:val="Compact"/>
              <w:jc w:val="left"/>
            </w:pPr>
            <w:r>
              <w:t xml:space="preserve">Production, Recycled</w:t>
            </w:r>
          </w:p>
        </w:tc>
        <w:tc>
          <w:tcPr/>
          <w:p>
            <w:pPr>
              <w:pStyle w:val="Compact"/>
              <w:jc w:val="left"/>
            </w:pPr>
            <w:r>
              <w:t xml:space="preserve">0.10</w:t>
            </w:r>
          </w:p>
        </w:tc>
        <w:tc>
          <w:tcPr/>
          <w:p>
            <w:pPr>
              <w:pStyle w:val="Compact"/>
              <w:jc w:val="left"/>
            </w:pPr>
            <w:r>
              <w:t xml:space="preserve">kg</w:t>
            </w:r>
          </w:p>
        </w:tc>
        <w:tc>
          <w:tcPr/>
          <w:p>
            <w:pPr>
              <w:pStyle w:val="Compact"/>
              <w:jc w:val="left"/>
            </w:pPr>
            <w:r>
              <w:t xml:space="preserve">0.80</w:t>
            </w:r>
          </w:p>
        </w:tc>
        <w:tc>
          <w:tcPr/>
          <w:p>
            <w:pPr>
              <w:pStyle w:val="Compact"/>
              <w:jc w:val="left"/>
            </w:pPr>
            <w:r>
              <w:t xml:space="preserve">0.080</w:t>
            </w:r>
          </w:p>
        </w:tc>
      </w:tr>
      <w:tr>
        <w:tc>
          <w:tcPr/>
          <w:p>
            <w:pPr>
              <w:pStyle w:val="Compact"/>
              <w:jc w:val="left"/>
            </w:pPr>
            <w:r>
              <w:t xml:space="preserve">M008</w:t>
            </w:r>
          </w:p>
        </w:tc>
        <w:tc>
          <w:tcPr/>
          <w:p>
            <w:pPr>
              <w:pStyle w:val="Compact"/>
              <w:jc w:val="left"/>
            </w:pPr>
            <w:r>
              <w:t xml:space="preserve">Adhesives/Coatings</w:t>
            </w:r>
          </w:p>
        </w:tc>
        <w:tc>
          <w:tcPr/>
          <w:p>
            <w:pPr>
              <w:pStyle w:val="Compact"/>
              <w:jc w:val="left"/>
            </w:pPr>
            <w:r>
              <w:t xml:space="preserve">Chemicals</w:t>
            </w:r>
          </w:p>
        </w:tc>
        <w:tc>
          <w:tcPr/>
          <w:p>
            <w:pPr>
              <w:pStyle w:val="Compact"/>
              <w:jc w:val="left"/>
            </w:pPr>
            <w:r>
              <w:t xml:space="preserve">Production, Generic</w:t>
            </w:r>
          </w:p>
        </w:tc>
        <w:tc>
          <w:tcPr/>
          <w:p>
            <w:pPr>
              <w:pStyle w:val="Compact"/>
              <w:jc w:val="left"/>
            </w:pPr>
            <w:r>
              <w:t xml:space="preserve">0.01</w:t>
            </w:r>
          </w:p>
        </w:tc>
        <w:tc>
          <w:tcPr/>
          <w:p>
            <w:pPr>
              <w:pStyle w:val="Compact"/>
              <w:jc w:val="left"/>
            </w:pPr>
            <w:r>
              <w:t xml:space="preserve">kg</w:t>
            </w:r>
          </w:p>
        </w:tc>
        <w:tc>
          <w:tcPr/>
          <w:p>
            <w:pPr>
              <w:pStyle w:val="Compact"/>
              <w:jc w:val="left"/>
            </w:pPr>
            <w:r>
              <w:t xml:space="preserve">5.50</w:t>
            </w:r>
          </w:p>
        </w:tc>
        <w:tc>
          <w:tcPr/>
          <w:p>
            <w:pPr>
              <w:pStyle w:val="Compact"/>
              <w:jc w:val="left"/>
            </w:pPr>
            <w:r>
              <w:t xml:space="preserve">0.055</w:t>
            </w:r>
          </w:p>
        </w:tc>
      </w:tr>
      <w:tr>
        <w:tc>
          <w:tcPr/>
          <w:p>
            <w:pPr>
              <w:pStyle w:val="Compact"/>
              <w:jc w:val="left"/>
            </w:pPr>
            <w:r>
              <w:t xml:space="preserve">M009</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Production, Standard</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0.100</w:t>
            </w:r>
          </w:p>
        </w:tc>
      </w:tr>
    </w:tbl>
    <w:bookmarkEnd w:id="34"/>
    <w:bookmarkStart w:id="35" w:name="logistics-data-primary-secondary-data"/>
    <w:p>
      <w:pPr>
        <w:pStyle w:val="Heading3"/>
      </w:pPr>
      <w:r>
        <w:t xml:space="preserve">3.2. Logistics Data (Primary &amp; Secondary Data)</w:t>
      </w:r>
    </w:p>
    <w:p>
      <w:pPr>
        <w:numPr>
          <w:ilvl w:val="0"/>
          <w:numId w:val="1004"/>
        </w:numPr>
        <w:pStyle w:val="Compact"/>
      </w:pPr>
      <w:r>
        <w:rPr>
          <w:bCs/>
          <w:b/>
        </w:rPr>
        <w:t xml:space="preserve">Transport Mode (Primary to Factory):</w:t>
      </w:r>
      <w:r>
        <w:t xml:space="preserve"> </w:t>
      </w:r>
      <w:r>
        <w:t xml:space="preserve">Sea Freight (for bulk materials from Europe to China).</w:t>
      </w:r>
    </w:p>
    <w:p>
      <w:pPr>
        <w:numPr>
          <w:ilvl w:val="0"/>
          <w:numId w:val="1004"/>
        </w:numPr>
        <w:pStyle w:val="Compact"/>
      </w:pPr>
      <w:r>
        <w:rPr>
          <w:bCs/>
          <w:b/>
        </w:rPr>
        <w:t xml:space="preserve">Transport Distance (Primary to Factory):</w:t>
      </w:r>
      <w:r>
        <w:t xml:space="preserve"> </w:t>
      </w:r>
      <w:r>
        <w:t xml:space="preserve">qggmmyvhyu (assumed 15,000 km for European suppliers to China).</w:t>
      </w:r>
    </w:p>
    <w:p>
      <w:pPr>
        <w:numPr>
          <w:ilvl w:val="0"/>
          <w:numId w:val="1004"/>
        </w:numPr>
        <w:pStyle w:val="Compact"/>
      </w:pPr>
      <w:r>
        <w:rPr>
          <w:bCs/>
          <w:b/>
        </w:rPr>
        <w:t xml:space="preserve">Last-Mile Delivery Channel (Post-Production):</w:t>
      </w:r>
      <w:r>
        <w:t xml:space="preserve"> </w:t>
      </w:r>
      <w:r>
        <w:t xml:space="preserve">Delivery Type (assumed Road Freight (van) within Europe).</w:t>
      </w:r>
    </w:p>
    <w:p>
      <w:pPr>
        <w:numPr>
          <w:ilvl w:val="0"/>
          <w:numId w:val="1004"/>
        </w:numPr>
        <w:pStyle w:val="Compact"/>
      </w:pPr>
      <w:r>
        <w:rPr>
          <w:bCs/>
          <w:b/>
        </w:rPr>
        <w:t xml:space="preserve">Transport Distance (Post-Production):</w:t>
      </w:r>
      <w:r>
        <w:t xml:space="preserve"> </w:t>
      </w:r>
      <w:r>
        <w:t xml:space="preserve">qggmmyvhyu (assumed 500 km for distribution within Europe).</w:t>
      </w:r>
    </w:p>
    <w:p>
      <w:pPr>
        <w:pStyle w:val="FirstParagraph"/>
      </w:pPr>
      <w:r>
        <w:t xml:space="preserve">Emission factors for transport are sourced from industry standards (e.g., DEFRA, Ecoinvent).</w:t>
      </w:r>
    </w:p>
    <w:bookmarkEnd w:id="35"/>
    <w:bookmarkStart w:id="36" w:name="production-energy-data-primary-data"/>
    <w:p>
      <w:pPr>
        <w:pStyle w:val="Heading3"/>
      </w:pPr>
      <w:r>
        <w:t xml:space="preserve">3.3. Production Energy Data (Primary Data)</w:t>
      </w:r>
    </w:p>
    <w:p>
      <w:pPr>
        <w:numPr>
          <w:ilvl w:val="0"/>
          <w:numId w:val="1005"/>
        </w:numPr>
        <w:pStyle w:val="Compact"/>
      </w:pPr>
      <w:r>
        <w:rPr>
          <w:bCs/>
          <w:b/>
        </w:rPr>
        <w:t xml:space="preserve">Renewable Energy Usage:</w:t>
      </w:r>
      <w:r>
        <w:t xml:space="preserve"> </w:t>
      </w:r>
      <w:r>
        <w:t xml:space="preserve">mkdsseznhs (assumed 80%). This indicates that 80% of the purchased electricity for manufacturing comes from renewable sources via certificates or direct purchase.</w:t>
      </w:r>
    </w:p>
    <w:p>
      <w:pPr>
        <w:numPr>
          <w:ilvl w:val="0"/>
          <w:numId w:val="1005"/>
        </w:numPr>
        <w:pStyle w:val="Compact"/>
      </w:pPr>
      <w:r>
        <w:rPr>
          <w:bCs/>
          <w:b/>
        </w:rPr>
        <w:t xml:space="preserve">Energy Intensity (kWh/unit):</w:t>
      </w:r>
      <w:r>
        <w:t xml:space="preserve"> </w:t>
      </w:r>
      <w:r>
        <w:t xml:space="preserve">gplytzjlks (assumed 2.5 kWh/unit). This is the electricity required to manufacture one unit of sltkmjjerz.</w:t>
      </w:r>
    </w:p>
    <w:p>
      <w:pPr>
        <w:pStyle w:val="FirstParagraph"/>
      </w:pPr>
      <w:r>
        <w:t xml:space="preserve">Grid electricity emission factor for China (2023 national average) is 0.6205 kgCO2e/kWh. For the 20% non-renewable portion of purchased electricity, this factor will be used.</w:t>
      </w:r>
    </w:p>
    <w:bookmarkEnd w:id="36"/>
    <w:bookmarkStart w:id="37" w:name="use-phase-data-primary-data"/>
    <w:p>
      <w:pPr>
        <w:pStyle w:val="Heading3"/>
      </w:pPr>
      <w:r>
        <w:t xml:space="preserve">3.4. Use Phase Data (Primary Data)</w:t>
      </w:r>
    </w:p>
    <w:p>
      <w:pPr>
        <w:numPr>
          <w:ilvl w:val="0"/>
          <w:numId w:val="1006"/>
        </w:numPr>
        <w:pStyle w:val="Compact"/>
      </w:pPr>
      <w:r>
        <w:rPr>
          <w:bCs/>
          <w:b/>
        </w:rPr>
        <w:t xml:space="preserve">Product Lifespan:</w:t>
      </w:r>
      <w:r>
        <w:t xml:space="preserve"> </w:t>
      </w:r>
      <w:r>
        <w:t xml:space="preserve">nozxnhylqe (assumed 3 years).</w:t>
      </w:r>
    </w:p>
    <w:p>
      <w:pPr>
        <w:numPr>
          <w:ilvl w:val="0"/>
          <w:numId w:val="1006"/>
        </w:numPr>
        <w:pStyle w:val="Compact"/>
      </w:pPr>
      <w:r>
        <w:rPr>
          <w:bCs/>
          <w:b/>
        </w:rPr>
        <w:t xml:space="preserve">Energy Consumption in Use:</w:t>
      </w:r>
      <w:r>
        <w:t xml:space="preserve"> </w:t>
      </w:r>
      <w:r>
        <w:t xml:space="preserve">jpzrrofdto (assumed 0.01 kWh/hour for 4 hours/day).</w:t>
      </w:r>
    </w:p>
    <w:p>
      <w:pPr>
        <w:numPr>
          <w:ilvl w:val="1"/>
          <w:numId w:val="1007"/>
        </w:numPr>
        <w:pStyle w:val="Compact"/>
      </w:pPr>
      <w:r>
        <w:t xml:space="preserve">Total annual consumption: 0.01 kWh/hour * 4 hours/day * 365 days/year = 14.6 kWh/year.</w:t>
      </w:r>
    </w:p>
    <w:p>
      <w:pPr>
        <w:numPr>
          <w:ilvl w:val="1"/>
          <w:numId w:val="1007"/>
        </w:numPr>
        <w:pStyle w:val="Compact"/>
      </w:pPr>
      <w:r>
        <w:t xml:space="preserve">Total lifespan consumption: 14.6 kWh/year * 3 years = 43.8 kWh.</w:t>
      </w:r>
    </w:p>
    <w:p>
      <w:pPr>
        <w:pStyle w:val="FirstParagraph"/>
      </w:pPr>
      <w:r>
        <w:t xml:space="preserve">The average European grid electricity emission factor for 2024 is approximately 0.181 kg CO2e/kWh.</w:t>
      </w:r>
    </w:p>
    <w:bookmarkEnd w:id="37"/>
    <w:bookmarkStart w:id="38" w:name="end-of-life-eol-data-primary-data"/>
    <w:p>
      <w:pPr>
        <w:pStyle w:val="Heading3"/>
      </w:pPr>
      <w:r>
        <w:t xml:space="preserve">3.5. End-of-Life (EoL) Data (Primary Data)</w:t>
      </w:r>
    </w:p>
    <w:p>
      <w:pPr>
        <w:numPr>
          <w:ilvl w:val="0"/>
          <w:numId w:val="1008"/>
        </w:numPr>
        <w:pStyle w:val="Compact"/>
      </w:pPr>
      <w:r>
        <w:rPr>
          <w:bCs/>
          <w:b/>
        </w:rPr>
        <w:t xml:space="preserve">Recyclability Percentage:</w:t>
      </w:r>
      <w:r>
        <w:t xml:space="preserve"> </w:t>
      </w:r>
      <w:r>
        <w:t xml:space="preserve">rqwgukmylg (assumed 70%). This is the percentage of the product\'s mass that is theoretically recyclable.</w:t>
      </w:r>
    </w:p>
    <w:p>
      <w:pPr>
        <w:numPr>
          <w:ilvl w:val="0"/>
          <w:numId w:val="1008"/>
        </w:numPr>
        <w:pStyle w:val="Compact"/>
      </w:pPr>
      <w:r>
        <w:rPr>
          <w:bCs/>
          <w:b/>
        </w:rPr>
        <w:t xml:space="preserve">Circular/Take-back Programs:</w:t>
      </w:r>
      <w:r>
        <w:t xml:space="preserve"> </w:t>
      </w:r>
      <w:r>
        <w:t xml:space="preserve">rfiuxwpyeq (ovlwjqsyev implements a take-back program in Europe, ensuring materials are directed to appropriate recycling/recovery streams).</w:t>
      </w:r>
    </w:p>
    <w:p>
      <w:pPr>
        <w:pStyle w:val="FirstParagraph"/>
      </w:pPr>
      <w:r>
        <w:t xml:space="preserve">EoL scenarios consider emissions from recycling processes (credits/debits), incineration, and landfilling for non-recycled portions.</w:t>
      </w:r>
    </w:p>
    <w:p>
      <w:r>
        <w:pict>
          <v:rect style="width:0;height:1.5pt" o:hralign="center" o:hrstd="t" o:hr="t"/>
        </w:pict>
      </w:r>
    </w:p>
    <w:bookmarkEnd w:id="38"/>
    <w:bookmarkEnd w:id="39"/>
    <w:bookmarkStart w:id="50" w:name="X439a6e6dcb43c636bf515ffaf3f59bce0bd6490"/>
    <w:p>
      <w:pPr>
        <w:pStyle w:val="Heading2"/>
      </w:pPr>
      <w:r>
        <w:t xml:space="preserve">4. Emission Calculation (Activity * Emission Factor = CO2e)</w:t>
      </w:r>
    </w:p>
    <w:p>
      <w:pPr>
        <w:pStyle w:val="FirstParagraph"/>
      </w:pPr>
      <w:r>
        <w:t xml:space="preserve">Emissions are calculated for each stage of the product lifecycle, categorizing them according to the GHG Protocol\'s Scope 1, 2, and 3 definitions. Scope 1 covers direct emissions from owned or controlled sources, Scope 2 covers indirect emissions from purchased electricity, and Scope 3 covers all other indirect emissions in the value chain. A minimum of 95% Scope 3 coverage is ensured for this report, aligning with 2026 requirements.</w:t>
      </w:r>
    </w:p>
    <w:bookmarkStart w:id="40" w:name="X5b1568179537b4f8d9c0b2f8dd94e8a47170c12"/>
    <w:p>
      <w:pPr>
        <w:pStyle w:val="Heading3"/>
      </w:pPr>
      <w:r>
        <w:t xml:space="preserve">4.1. Raw Material Acquisition &amp; Pre-processing Emissions (Scope 3 - Upstream)</w:t>
      </w:r>
    </w:p>
    <w:p>
      <w:pPr>
        <w:pStyle w:val="FirstParagraph"/>
      </w:pPr>
      <w:r>
        <w:t xml:space="preserve">Based on the BOM data:</w:t>
      </w:r>
    </w:p>
    <w:p>
      <w:pPr>
        <w:pStyle w:val="SourceCode"/>
      </w:pPr>
      <w:r>
        <w:rPr>
          <w:rStyle w:val="VerbatimChar"/>
        </w:rPr>
        <w:t xml:space="preserve">Total Carbon from Materials = Sum of (Qty * Emission Factor) for each BOM item.</w:t>
      </w:r>
    </w:p>
    <w:p>
      <w:pPr>
        <w:pStyle w:val="FirstParagraph"/>
      </w:pPr>
      <w:r>
        <w:t xml:space="preserve">\'M001\', \'Description\' =&gt; \'ABS Plastic Housing\', \'Category\' =&gt; \'Plastics\', \'Process\' =&gt; \'Injection Molding, Virgin\', \'Qty\' =&gt; 0.35, \'Unit\' =&gt; \'kg\', \'Emission Factor\' =&gt; 3.20, \'Total Carbon\' =&gt; 0],</w:t>
      </w:r>
      <w:r>
        <w:t xml:space="preserve"> </w:t>
      </w:r>
      <w:r>
        <w:t xml:space="preserve">[\'ID\' =&gt; \'M002\', \'Description\' =&gt; \'Aluminum Casing\', \'Category\' =&gt; \'Metals\', \'Process\' =&gt; \'Extrusion, Primary\', \'Qty\' =&gt; 0.15, \'Unit\' =&gt; \'kg\', \'Emission Factor\' =&gt; 10.50, \'Total Carbon\' =&gt; 0],</w:t>
      </w:r>
      <w:r>
        <w:t xml:space="preserve"> </w:t>
      </w:r>
      <w:r>
        <w:t xml:space="preserve">[\'ID\' =&gt; \'M003\', \'Description\' =&gt; \'Printed Circuit Board (PCB)\', \'Category\' =&gt; \'Electronics\', \'Process\' =&gt; \'Manufacturing, Standard\', \'Qty\' =&gt; 0.08, \'Unit\' =&gt; \'unit\', \'Emission Factor\' =&gt; 8.50, \'Total Carbon\' =&gt; 0],</w:t>
      </w:r>
      <w:r>
        <w:t xml:space="preserve"> </w:t>
      </w:r>
      <w:r>
        <w:t xml:space="preserve">[\'ID\' =&gt; \'M004\', \'Description\' =&gt; \'Lithium-ion Battery\', \'Category\' =&gt; \'Energy Storage\', \'Process\' =&gt; \'Production, Standard\', \'Qty\' =&gt; 0.05, \'Unit\' =&gt; \'unit\', \'Emission Factor\' =&gt; 12.00, \'Total Carbon\' =&gt; 0],</w:t>
      </w:r>
      <w:r>
        <w:t xml:space="preserve"> </w:t>
      </w:r>
      <w:r>
        <w:t xml:space="preserve">[\'ID\' =&gt; \'M005\', \'Description\' =&gt; \'Copper Wiring\', \'Category\' =&gt; \'Metals\', \'Process\' =&gt; \'Drawing, Primary\', \'Qty\' =&gt; 0.02, \'Unit\' =&gt; \'kg\', \'Emission Factor\' =&gt; 4.80, \'Total Carbon\' =&gt; 0],</w:t>
      </w:r>
      <w:r>
        <w:t xml:space="preserve"> </w:t>
      </w:r>
      <w:r>
        <w:t xml:space="preserve">[\'ID\' =&gt; \'M006\', \'Description\' =&gt; \'Electronic Components (Assorted)\', \'Category\' =&gt; \'Electronics\', \'Process\' =&gt; \'Manufacturing, Generic\', \'Qty\' =&gt; 0.10, \'Unit\' =&gt; \'unit\', \'Emission Factor\' =&gt; 7.00, \'Total Carbon\' =&gt; 0],</w:t>
      </w:r>
      <w:r>
        <w:t xml:space="preserve"> </w:t>
      </w:r>
      <w:r>
        <w:t xml:space="preserve">[\'ID\' =&gt; \'M007\', \'Description\' =&gt; \'Packaging (Recycled Cardboard)\', \'Category\' =&gt; \'Paper/Packaging\', \'Process\' =&gt; \'Production, Recycled\', \'Qty\' =&gt; 0.10, \'Unit\' =&gt; \'kg\', \'Emission Factor\' =&gt; 0.80, \'Total Carbon\' =&gt; 0],</w:t>
      </w:r>
      <w:r>
        <w:t xml:space="preserve"> </w:t>
      </w:r>
      <w:r>
        <w:t xml:space="preserve">[\'ID\' =&gt; \'M008\', \'Description\' =&gt; \'Adhesives/Coatings\', \'Category\' =&gt; \'Chemicals\', \'Process\' =&gt; \'Production, Generic\', \'Qty\' =&gt; 0.01, \'Unit\' =&gt; \'kg\', \'Emission Factor\' =&gt; 5.50, \'Total Carbon\' =&gt; 0],</w:t>
      </w:r>
      <w:r>
        <w:t xml:space="preserve"> </w:t>
      </w:r>
      <w:r>
        <w:t xml:space="preserve">[\'ID\' =&gt; \'M009\', \'Description\' =&gt; \'Glass Display\', \'Category\' =&gt; \'Glass\', \'Process\' =&gt; \'Production, Standard\', \'Qty\' =&gt; 0.05, \'Unit\' =&gt; \'unit\', \'Emission Factor\' =&gt; 2.00, \'Total Carbon\' =&gt; 0],</w:t>
      </w:r>
      <w:r>
        <w:t xml:space="preserve"> </w:t>
      </w:r>
      <w:r>
        <w:t xml:space="preserve">];</w:t>
      </w:r>
      <w:r>
        <w:t xml:space="preserve"> </w:t>
      </w:r>
      <w:r>
        <w:t xml:space="preserve">$total_material_carbon = 0;</w:t>
      </w:r>
      <w:r>
        <w:t xml:space="preserve"> </w:t>
      </w:r>
      <w:r>
        <w:t xml:space="preserve">foreach ($bom_data as $item) {</w:t>
      </w:r>
      <w:r>
        <w:t xml:space="preserve"> </w:t>
      </w:r>
      <w:r>
        <w:t xml:space="preserve">$total_material_carbon += $item[\'Qty\'] * $item[\'Emission Factor\'];</w:t>
      </w:r>
      <w:r>
        <w:t xml:space="preserve"> </w:t>
      </w:r>
      <w:r>
        <w:t xml:space="preserve">}</w:t>
      </w:r>
      <w:r>
        <w:t xml:space="preserve"> </w:t>
      </w:r>
      <w:r>
        <w:t xml:space="preserve">echo "</w:t>
      </w:r>
    </w:p>
    <w:p>
      <w:pPr>
        <w:pStyle w:val="BodyText"/>
      </w:pPr>
      <w:r>
        <w:t xml:space="preserve">Calculated Total Carbon from Materials:</w:t>
      </w:r>
      <w:r>
        <w:t xml:space="preserve"> </w:t>
      </w:r>
      <w:r>
        <w:rPr>
          <w:bCs/>
          <w:b/>
        </w:rPr>
        <w:t xml:space="preserve">" . number_format($total_material_carbon, 3) . " kg CO2e</w:t>
      </w:r>
    </w:p>
    <w:p>
      <w:pPr>
        <w:pStyle w:val="BodyText"/>
      </w:pPr>
      <w:r>
        <w:t xml:space="preserve">";</w:t>
      </w:r>
      <w:r>
        <w:t xml:space="preserve"> </w:t>
      </w:r>
      <w:r>
        <w:t xml:space="preserve">?&gt;</w:t>
      </w:r>
    </w:p>
    <w:bookmarkEnd w:id="40"/>
    <w:bookmarkStart w:id="41" w:name="manufacturing-emissions-scope-2"/>
    <w:p>
      <w:pPr>
        <w:pStyle w:val="Heading3"/>
      </w:pPr>
      <w:r>
        <w:t xml:space="preserve">4.2. Manufacturing Emissions (Scope 2)</w:t>
      </w:r>
    </w:p>
    <w:p>
      <w:pPr>
        <w:pStyle w:val="FirstParagraph"/>
      </w:pPr>
      <w:r>
        <w:t xml:space="preserve">Manufacturing electricity consumption (gplytzjlks = 2.5 kWh/unit) in China.</w:t>
      </w:r>
    </w:p>
    <w:p>
      <w:pPr>
        <w:numPr>
          <w:ilvl w:val="0"/>
          <w:numId w:val="1009"/>
        </w:numPr>
        <w:pStyle w:val="Compact"/>
      </w:pPr>
      <w:r>
        <w:t xml:space="preserve">Renewable Energy Usage (mkdsseznhs): 80%</w:t>
      </w:r>
    </w:p>
    <w:p>
      <w:pPr>
        <w:numPr>
          <w:ilvl w:val="0"/>
          <w:numId w:val="1009"/>
        </w:numPr>
        <w:pStyle w:val="Compact"/>
      </w:pPr>
      <w:r>
        <w:t xml:space="preserve">Non-renewable portion: 20%</w:t>
      </w:r>
    </w:p>
    <w:p>
      <w:pPr>
        <w:numPr>
          <w:ilvl w:val="0"/>
          <w:numId w:val="1009"/>
        </w:numPr>
        <w:pStyle w:val="Compact"/>
      </w:pPr>
      <w:r>
        <w:t xml:space="preserve">China Grid Emission Factor (2023): 0.6205 kgCO2e/kWh.</w:t>
      </w:r>
    </w:p>
    <w:p>
      <w:pPr>
        <w:pStyle w:val="SourceCode"/>
      </w:pPr>
      <w:r>
        <w:rPr>
          <w:rStyle w:val="VerbatimChar"/>
        </w:rPr>
        <w:t xml:space="preserve">        Non-renewable energy consumed = 2.5 kWh/unit * (1 - 0.80) = 0.5 kWh/unit</w:t>
      </w:r>
      <w:r>
        <w:br/>
      </w:r>
      <w:r>
        <w:rPr>
          <w:rStyle w:val="VerbatimChar"/>
        </w:rPr>
        <w:t xml:space="preserve">        Manufacturing Emissions = 0.5 kWh/unit * 0.6205 kgCO2e/kWh = 0.310 kg CO2e/unit</w:t>
      </w:r>
      <w:r>
        <w:br/>
      </w:r>
      <w:r>
        <w:rPr>
          <w:rStyle w:val="VerbatimChar"/>
        </w:rPr>
        <w:t xml:space="preserve">    </w:t>
      </w:r>
    </w:p>
    <w:p>
      <w:pPr>
        <w:pStyle w:val="FirstParagraph"/>
      </w:pPr>
      <w:r>
        <w:t xml:space="preserve">Calculated Manufacturing Emissions (Scope 2):</w:t>
      </w:r>
      <w:r>
        <w:t xml:space="preserve"> </w:t>
      </w:r>
      <w:r>
        <w:rPr>
          <w:bCs/>
          <w:b/>
        </w:rPr>
        <w:t xml:space="preserve">0.310 kg CO2e/unit</w:t>
      </w:r>
    </w:p>
    <w:bookmarkEnd w:id="41"/>
    <w:bookmarkStart w:id="44" w:name="Xa0604b3f50f1ec649b53adaccabc007153b1827"/>
    <w:p>
      <w:pPr>
        <w:pStyle w:val="Heading3"/>
      </w:pPr>
      <w:r>
        <w:t xml:space="preserve">4.3. Transportation Emissions (Scope 3 - Upstream &amp; Downstream)</w:t>
      </w:r>
    </w:p>
    <w:p>
      <w:pPr>
        <w:pStyle w:val="FirstParagraph"/>
      </w:pPr>
      <w:r>
        <w:t xml:space="preserve">Assume product weight for transport is total BOM weight + packaging = (0.35 + 0.15 + 0.08 + 0.05 + 0.02 + 0.10 + 0.10 + 0.01 + 0.05) kg = 0.91 kg.</w:t>
      </w:r>
    </w:p>
    <w:p>
      <w:pPr>
        <w:pStyle w:val="BodyText"/>
      </w:pPr>
      <w:r>
        <w:t xml:space="preserve">Assumed average emission factors:</w:t>
      </w:r>
    </w:p>
    <w:p>
      <w:pPr>
        <w:numPr>
          <w:ilvl w:val="0"/>
          <w:numId w:val="1010"/>
        </w:numPr>
        <w:pStyle w:val="Compact"/>
      </w:pPr>
      <w:r>
        <w:t xml:space="preserve">Sea Freight (long haul): 0.003 kg CO2e/tonne-km (0.000003 kg CO2e/kg-km)</w:t>
      </w:r>
    </w:p>
    <w:p>
      <w:pPr>
        <w:numPr>
          <w:ilvl w:val="0"/>
          <w:numId w:val="1010"/>
        </w:numPr>
        <w:pStyle w:val="Compact"/>
      </w:pPr>
      <w:r>
        <w:t xml:space="preserve">Road Freight (van, last-mile): 0.15 kg CO2e/tonne-km (0.00015 kg CO2e/kg-km)</w:t>
      </w:r>
    </w:p>
    <w:bookmarkStart w:id="42" w:name="Xf9061e087eb72f40c50af89da6c340ad41d66b4"/>
    <w:p>
      <w:pPr>
        <w:pStyle w:val="Heading4"/>
      </w:pPr>
      <w:r>
        <w:t xml:space="preserve">4.3.1. Upstream Transportation (Materials from Europe to China)</w:t>
      </w:r>
    </w:p>
    <w:p>
      <w:pPr>
        <w:pStyle w:val="FirstParagraph"/>
      </w:pPr>
      <w:r>
        <w:t xml:space="preserve">Transport Mode: Sea Freight, Distance: 15,000 km (qggmmyvhyu assumed).</w:t>
      </w:r>
    </w:p>
    <w:p>
      <w:pPr>
        <w:pStyle w:val="SourceCode"/>
      </w:pPr>
      <w:r>
        <w:rPr>
          <w:rStyle w:val="VerbatimChar"/>
        </w:rPr>
        <w:t xml:space="preserve">        Emissions = Product Weight (kg) * Distance (km) * Emission Factor (kg CO2e/kg-km)</w:t>
      </w:r>
      <w:r>
        <w:br/>
      </w:r>
      <w:r>
        <w:rPr>
          <w:rStyle w:val="VerbatimChar"/>
        </w:rPr>
        <w:t xml:space="preserve">        Emissions = 0.91 kg * 15,000 km * 0.000003 kg CO2e/kg-km = 0.041 kg CO2e/unit</w:t>
      </w:r>
      <w:r>
        <w:br/>
      </w:r>
      <w:r>
        <w:rPr>
          <w:rStyle w:val="VerbatimChar"/>
        </w:rPr>
        <w:t xml:space="preserve">    </w:t>
      </w:r>
    </w:p>
    <w:p>
      <w:pPr>
        <w:pStyle w:val="FirstParagraph"/>
      </w:pPr>
      <w:r>
        <w:t xml:space="preserve">Calculated Upstream Transportation Emissions:</w:t>
      </w:r>
      <w:r>
        <w:t xml:space="preserve"> </w:t>
      </w:r>
      <w:r>
        <w:rPr>
          <w:bCs/>
          <w:b/>
        </w:rPr>
        <w:t xml:space="preserve">0.041 kg CO2e/unit</w:t>
      </w:r>
    </w:p>
    <w:bookmarkEnd w:id="42"/>
    <w:bookmarkStart w:id="43" w:name="X99e00da33d2aba4837a53b1f878e6b58431f562"/>
    <w:p>
      <w:pPr>
        <w:pStyle w:val="Heading4"/>
      </w:pPr>
      <w:r>
        <w:t xml:space="preserve">4.3.2. Downstream Transportation (Product from China to Europe, then Last-Mile)</w:t>
      </w:r>
    </w:p>
    <w:p>
      <w:pPr>
        <w:pStyle w:val="FirstParagraph"/>
      </w:pPr>
      <w:r>
        <w:t xml:space="preserve">Assume primary transport from China to Europe is also Sea Freight (18,000 km assumed, as qggmmyvhyu is a generic placeholder).</w:t>
      </w:r>
    </w:p>
    <w:p>
      <w:pPr>
        <w:pStyle w:val="SourceCode"/>
      </w:pPr>
      <w:r>
        <w:rPr>
          <w:rStyle w:val="VerbatimChar"/>
        </w:rPr>
        <w:t xml:space="preserve">        Sea Freight Emissions = 0.91 kg * 18,000 km * 0.000003 kg CO2e/kg-km = 0.049 kg CO2e/unit</w:t>
      </w:r>
      <w:r>
        <w:br/>
      </w:r>
      <w:r>
        <w:rPr>
          <w:rStyle w:val="VerbatimChar"/>
        </w:rPr>
        <w:t xml:space="preserve">    </w:t>
      </w:r>
    </w:p>
    <w:p>
      <w:pPr>
        <w:pStyle w:val="FirstParagraph"/>
      </w:pPr>
      <w:r>
        <w:t xml:space="preserve">Last-Mile Delivery: Road Freight (van), Distance: 500 km (qggmmyvhyu assumed).</w:t>
      </w:r>
    </w:p>
    <w:p>
      <w:pPr>
        <w:pStyle w:val="SourceCode"/>
      </w:pPr>
      <w:r>
        <w:rPr>
          <w:rStyle w:val="VerbatimChar"/>
        </w:rPr>
        <w:t xml:space="preserve">        Road Freight Emissions = 0.91 kg * 500 km * 0.00015 kg CO2e/kg-km = 0.068 kg CO2e/unit</w:t>
      </w:r>
      <w:r>
        <w:br/>
      </w:r>
      <w:r>
        <w:rPr>
          <w:rStyle w:val="VerbatimChar"/>
        </w:rPr>
        <w:t xml:space="preserve">    </w:t>
      </w:r>
    </w:p>
    <w:p>
      <w:pPr>
        <w:pStyle w:val="FirstParagraph"/>
      </w:pPr>
      <w:r>
        <w:t xml:space="preserve">Calculated Downstream Transportation Emissions: 0.049 + 0.068 =</w:t>
      </w:r>
      <w:r>
        <w:t xml:space="preserve"> </w:t>
      </w:r>
      <w:r>
        <w:rPr>
          <w:bCs/>
          <w:b/>
        </w:rPr>
        <w:t xml:space="preserve">0.117 kg CO2e/unit</w:t>
      </w:r>
    </w:p>
    <w:p>
      <w:pPr>
        <w:pStyle w:val="BodyText"/>
      </w:pPr>
      <w:r>
        <w:t xml:space="preserve">Total Transportation Emissions (Scope 3): 0.041 + 0.117 =</w:t>
      </w:r>
      <w:r>
        <w:t xml:space="preserve"> </w:t>
      </w:r>
      <w:r>
        <w:rPr>
          <w:bCs/>
          <w:b/>
        </w:rPr>
        <w:t xml:space="preserve">0.158 kg CO2e/unit</w:t>
      </w:r>
    </w:p>
    <w:bookmarkEnd w:id="43"/>
    <w:bookmarkEnd w:id="44"/>
    <w:bookmarkStart w:id="45" w:name="use-phase-emissions-scope-3---downstream"/>
    <w:p>
      <w:pPr>
        <w:pStyle w:val="Heading3"/>
      </w:pPr>
      <w:r>
        <w:t xml:space="preserve">4.4. Use Phase Emissions (Scope 3 - Downstream)</w:t>
      </w:r>
    </w:p>
    <w:p>
      <w:pPr>
        <w:pStyle w:val="FirstParagraph"/>
      </w:pPr>
      <w:r>
        <w:t xml:space="preserve">Product Lifespan: 3 years (nozxnhylqe assumed).</w:t>
      </w:r>
    </w:p>
    <w:p>
      <w:pPr>
        <w:pStyle w:val="BodyText"/>
      </w:pPr>
      <w:r>
        <w:t xml:space="preserve">Energy Consumption in Use: 43.8 kWh over lifespan (jpzrrofdto calculated from 0.01 kWh/hour for 4 hours/day).</w:t>
      </w:r>
    </w:p>
    <w:p>
      <w:pPr>
        <w:pStyle w:val="BodyText"/>
      </w:pPr>
      <w:r>
        <w:t xml:space="preserve">Average European Grid Emission Factor (2024): 0.181 kg CO2e/kWh.</w:t>
      </w:r>
    </w:p>
    <w:p>
      <w:pPr>
        <w:pStyle w:val="SourceCode"/>
      </w:pPr>
      <w:r>
        <w:rPr>
          <w:rStyle w:val="VerbatimChar"/>
        </w:rPr>
        <w:t xml:space="preserve">        Use Phase Emissions = Total Lifespan Consumption (kWh) * Emission Factor (kg CO2e/kWh)</w:t>
      </w:r>
      <w:r>
        <w:br/>
      </w:r>
      <w:r>
        <w:rPr>
          <w:rStyle w:val="VerbatimChar"/>
        </w:rPr>
        <w:t xml:space="preserve">        Use Phase Emissions = 43.8 kWh * 0.181 kg CO2e/kWh = 7.922 kg CO2e/unit</w:t>
      </w:r>
      <w:r>
        <w:br/>
      </w:r>
      <w:r>
        <w:rPr>
          <w:rStyle w:val="VerbatimChar"/>
        </w:rPr>
        <w:t xml:space="preserve">    </w:t>
      </w:r>
    </w:p>
    <w:p>
      <w:pPr>
        <w:pStyle w:val="FirstParagraph"/>
      </w:pPr>
      <w:r>
        <w:t xml:space="preserve">Calculated Use Phase Emissions:</w:t>
      </w:r>
      <w:r>
        <w:t xml:space="preserve"> </w:t>
      </w:r>
      <w:r>
        <w:rPr>
          <w:bCs/>
          <w:b/>
        </w:rPr>
        <w:t xml:space="preserve">7.922 kg CO2e/unit</w:t>
      </w:r>
    </w:p>
    <w:bookmarkEnd w:id="45"/>
    <w:bookmarkStart w:id="46" w:name="Xd9e5ad5ea4c3b87eccc24965f3c36828e2add2d"/>
    <w:p>
      <w:pPr>
        <w:pStyle w:val="Heading3"/>
      </w:pPr>
      <w:r>
        <w:t xml:space="preserve">4.5. End-of-Life (EoL) Emissions (Scope 3 - Downstream)</w:t>
      </w:r>
    </w:p>
    <w:p>
      <w:pPr>
        <w:pStyle w:val="FirstParagraph"/>
      </w:pPr>
      <w:r>
        <w:t xml:space="preserve">Recyclability Percentage: 70% (rqwgukmylg assumed).</w:t>
      </w:r>
    </w:p>
    <w:p>
      <w:pPr>
        <w:pStyle w:val="BodyText"/>
      </w:pPr>
      <w:r>
        <w:t xml:space="preserve">Product Weight at EoL (excluding components like battery with specific EoL): ~0.8 kg (total product mass 0.91 kg, assuming battery has separate EoL impact, but for simplicity here, we\'ll use 0.91kg and apply general EoL factors for the product as a whole. This is an area for further refinement in a real report with specific EoL pathways for each BOM item).</w:t>
      </w:r>
    </w:p>
    <w:p>
      <w:pPr>
        <w:pStyle w:val="BodyText"/>
      </w:pPr>
      <w:r>
        <w:t xml:space="preserve">Assumed EoL factors (indicative, based on typical LCA data for mixed electronics/plastics):</w:t>
      </w:r>
    </w:p>
    <w:p>
      <w:pPr>
        <w:numPr>
          <w:ilvl w:val="0"/>
          <w:numId w:val="1011"/>
        </w:numPr>
        <w:pStyle w:val="Compact"/>
      </w:pPr>
      <w:r>
        <w:t xml:space="preserve">Recycling Credit (for 70%): -0.5 kg CO2e/kg (avoided virgin material production)</w:t>
      </w:r>
    </w:p>
    <w:p>
      <w:pPr>
        <w:numPr>
          <w:ilvl w:val="0"/>
          <w:numId w:val="1011"/>
        </w:numPr>
        <w:pStyle w:val="Compact"/>
      </w:pPr>
      <w:r>
        <w:t xml:space="preserve">Incineration Emission (for 10%): +1.5 kg CO2e/kg</w:t>
      </w:r>
    </w:p>
    <w:p>
      <w:pPr>
        <w:numPr>
          <w:ilvl w:val="0"/>
          <w:numId w:val="1011"/>
        </w:numPr>
        <w:pStyle w:val="Compact"/>
      </w:pPr>
      <w:r>
        <w:t xml:space="preserve">Landfill Emission (for 20%): +0.2 kg CO2e/kg</w:t>
      </w:r>
    </w:p>
    <w:p>
      <w:pPr>
        <w:pStyle w:val="FirstParagraph"/>
      </w:pPr>
      <w:r>
        <w:t xml:space="preserve">Considering ovlwjqsyev\'s Circular/Take-back Programs (rfiuxwpyeq), which aim to maximize recycling:</w:t>
      </w:r>
    </w:p>
    <w:p>
      <w:pPr>
        <w:pStyle w:val="SourceCode"/>
      </w:pPr>
      <w:r>
        <w:rPr>
          <w:rStyle w:val="VerbatimChar"/>
        </w:rPr>
        <w:t xml:space="preserve">        Recycling Credit = 0.91 kg * 0.70 * (-0.5 kg CO2e/kg) = -0.319 kg CO2e/unit</w:t>
      </w:r>
      <w:r>
        <w:br/>
      </w:r>
      <w:r>
        <w:rPr>
          <w:rStyle w:val="VerbatimChar"/>
        </w:rPr>
        <w:t xml:space="preserve">        Incineration Emissions = 0.91 kg * 0.10 * (1.5 kg CO2e/kg) = 0.137 kg CO2e/unit</w:t>
      </w:r>
      <w:r>
        <w:br/>
      </w:r>
      <w:r>
        <w:rPr>
          <w:rStyle w:val="VerbatimChar"/>
        </w:rPr>
        <w:t xml:space="preserve">        Landfill Emissions = 0.91 kg * 0.20 * (0.2 kg CO2e/kg) = 0.036 kg CO2e/unit</w:t>
      </w:r>
      <w:r>
        <w:br/>
      </w:r>
      <w:r>
        <w:rPr>
          <w:rStyle w:val="VerbatimChar"/>
        </w:rPr>
        <w:t xml:space="preserve">        Total EoL Emissions = -0.319 + 0.137 + 0.036 = -0.146 kg CO2e/unit</w:t>
      </w:r>
      <w:r>
        <w:br/>
      </w:r>
      <w:r>
        <w:rPr>
          <w:rStyle w:val="VerbatimChar"/>
        </w:rPr>
        <w:t xml:space="preserve">    </w:t>
      </w:r>
    </w:p>
    <w:p>
      <w:pPr>
        <w:pStyle w:val="FirstParagraph"/>
      </w:pPr>
      <w:r>
        <w:t xml:space="preserve">Calculated End-of-Life Emissions:</w:t>
      </w:r>
      <w:r>
        <w:t xml:space="preserve"> </w:t>
      </w:r>
      <w:r>
        <w:rPr>
          <w:bCs/>
          <w:b/>
        </w:rPr>
        <w:t xml:space="preserve">-0.146 kg CO2e/unit</w:t>
      </w:r>
      <w:r>
        <w:t xml:space="preserve"> </w:t>
      </w:r>
      <w:r>
        <w:t xml:space="preserve">(Net credit due to high recyclability and take-back program).</w:t>
      </w:r>
    </w:p>
    <w:bookmarkEnd w:id="46"/>
    <w:bookmarkStart w:id="47" w:name="total-product-carbon-footprint"/>
    <w:p>
      <w:pPr>
        <w:pStyle w:val="Heading3"/>
      </w:pPr>
      <w:r>
        <w:t xml:space="preserve">4.6. Total Product Carbon Footprint</w:t>
      </w:r>
    </w:p>
    <w:p>
      <w:pPr>
        <w:pStyle w:val="FirstParagraph"/>
      </w:pPr>
      <w:r>
        <w:t xml:space="preserve">Summing up emissions from all stages:</w:t>
      </w:r>
    </w:p>
    <w:p>
      <w:pPr>
        <w:pStyle w:val="SourceCode"/>
      </w:pPr>
      <w:r>
        <w:rPr>
          <w:rStyle w:val="VerbatimChar"/>
        </w:rPr>
        <w:t xml:space="preserve">        Materials:              kg CO2e</w:t>
      </w:r>
      <w:r>
        <w:br/>
      </w:r>
      <w:r>
        <w:rPr>
          <w:rStyle w:val="VerbatimChar"/>
        </w:rPr>
        <w:t xml:space="preserve">        Manufacturing (Scope 2): 0.310 kg CO2e</w:t>
      </w:r>
      <w:r>
        <w:br/>
      </w:r>
      <w:r>
        <w:rPr>
          <w:rStyle w:val="VerbatimChar"/>
        </w:rPr>
        <w:t xml:space="preserve">        Transportation (Scope 3):0.158 kg CO2e</w:t>
      </w:r>
      <w:r>
        <w:br/>
      </w:r>
      <w:r>
        <w:rPr>
          <w:rStyle w:val="VerbatimChar"/>
        </w:rPr>
        <w:t xml:space="preserve">        Use Phase (Scope 3):     7.922 kg CO2e</w:t>
      </w:r>
      <w:r>
        <w:br/>
      </w:r>
      <w:r>
        <w:rPr>
          <w:rStyle w:val="VerbatimChar"/>
        </w:rPr>
        <w:t xml:space="preserve">        End-of-Life (Scope 3):  -0.146 kg CO2e</w:t>
      </w:r>
      <w:r>
        <w:br/>
      </w:r>
      <w:r>
        <w:rPr>
          <w:rStyle w:val="VerbatimChar"/>
        </w:rPr>
        <w:t xml:space="preserve">        ------------------------------------</w:t>
      </w:r>
      <w:r>
        <w:br/>
      </w:r>
      <w:r>
        <w:rPr>
          <w:rStyle w:val="VerbatimChar"/>
        </w:rPr>
        <w:t xml:space="preserve">        Total PCF:                kg CO2e</w:t>
      </w:r>
      <w:r>
        <w:br/>
      </w:r>
      <w:r>
        <w:rPr>
          <w:rStyle w:val="VerbatimChar"/>
        </w:rPr>
        <w:t xml:space="preserve">    </w:t>
      </w:r>
    </w:p>
    <w:p>
      <w:pPr>
        <w:pStyle w:val="FirstParagraph"/>
      </w:pPr>
      <w:r>
        <w:t xml:space="preserve">Total Product Carbon Footprint for 1.0 unit of sltkmjjerz:</w:t>
      </w:r>
      <w:r>
        <w:t xml:space="preserve"> </w:t>
      </w:r>
      <w:r>
        <w:rPr>
          <w:bCs/>
          <w:b/>
        </w:rPr>
        <w:t xml:space="preserve">kg CO2e</w:t>
      </w:r>
    </w:p>
    <w:bookmarkEnd w:id="47"/>
    <w:bookmarkStart w:id="48" w:name="ghg-protocol-scopes-summary"/>
    <w:p>
      <w:pPr>
        <w:pStyle w:val="Heading3"/>
      </w:pPr>
      <w:r>
        <w:t xml:space="preserve">4.7. GHG Protocol Scopes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 Category</w:t>
            </w:r>
          </w:p>
        </w:tc>
        <w:tc>
          <w:tcPr/>
          <w:p>
            <w:pPr>
              <w:pStyle w:val="Compact"/>
              <w:jc w:val="left"/>
            </w:pPr>
            <w:r>
              <w:t xml:space="preserve">Lifecycle Stage(s)</w:t>
            </w:r>
          </w:p>
        </w:tc>
        <w:tc>
          <w:tcPr/>
          <w:p>
            <w:pPr>
              <w:pStyle w:val="Compact"/>
              <w:jc w:val="left"/>
            </w:pPr>
            <w:r>
              <w:t xml:space="preserve">Emissions (kg CO2e/unit)</w:t>
            </w:r>
          </w:p>
        </w:tc>
        <w:tc>
          <w:tcPr/>
          <w:p>
            <w:pPr>
              <w:pStyle w:val="Compact"/>
              <w:jc w:val="left"/>
            </w:pPr>
            <w:r>
              <w:t xml:space="preserve">Coverage</w:t>
            </w:r>
          </w:p>
        </w:tc>
      </w:tr>
      <w:tr>
        <w:tc>
          <w:tcPr/>
          <w:p>
            <w:pPr>
              <w:pStyle w:val="Compact"/>
              <w:jc w:val="left"/>
            </w:pPr>
            <w:r>
              <w:rPr>
                <w:bCs/>
                <w:b/>
              </w:rPr>
              <w:t xml:space="preserve">Scope 1</w:t>
            </w:r>
            <w:r>
              <w:t xml:space="preserve"> </w:t>
            </w:r>
            <w:r>
              <w:t xml:space="preserve">(Direct Emissions)</w:t>
            </w:r>
          </w:p>
        </w:tc>
        <w:tc>
          <w:tcPr/>
          <w:p>
            <w:pPr>
              <w:pStyle w:val="Compact"/>
              <w:jc w:val="left"/>
            </w:pPr>
            <w:r>
              <w:t xml:space="preserve">Not identified for this product\'s manufacturing process (assuming no on-site fuel combustion)</w:t>
            </w:r>
          </w:p>
        </w:tc>
        <w:tc>
          <w:tcPr/>
          <w:p>
            <w:pPr>
              <w:pStyle w:val="Compact"/>
              <w:jc w:val="left"/>
            </w:pPr>
            <w:r>
              <w:t xml:space="preserve">0.000</w:t>
            </w:r>
          </w:p>
        </w:tc>
        <w:tc>
          <w:tcPr/>
          <w:p>
            <w:pPr>
              <w:pStyle w:val="Compact"/>
              <w:jc w:val="left"/>
            </w:pPr>
            <w:r>
              <w:t xml:space="preserve">0%</w:t>
            </w:r>
          </w:p>
        </w:tc>
      </w:tr>
      <w:tr>
        <w:tc>
          <w:tcPr/>
          <w:p>
            <w:pPr>
              <w:pStyle w:val="Compact"/>
              <w:jc w:val="left"/>
            </w:pPr>
            <w:r>
              <w:rPr>
                <w:bCs/>
                <w:b/>
              </w:rPr>
              <w:t xml:space="preserve">Scope 2</w:t>
            </w:r>
            <w:r>
              <w:t xml:space="preserve"> </w:t>
            </w:r>
            <w:r>
              <w:t xml:space="preserve">(Indirect, Purchased Energy)</w:t>
            </w:r>
          </w:p>
        </w:tc>
        <w:tc>
          <w:tcPr/>
          <w:p>
            <w:pPr>
              <w:pStyle w:val="Compact"/>
              <w:jc w:val="left"/>
            </w:pPr>
            <w:r>
              <w:t xml:space="preserve">Manufacturing (Purchased Electricity)</w:t>
            </w:r>
          </w:p>
        </w:tc>
        <w:tc>
          <w:tcPr/>
          <w:p>
            <w:pPr>
              <w:pStyle w:val="Compact"/>
              <w:jc w:val="left"/>
            </w:pPr>
            <w:r>
              <w:t xml:space="preserve">0.310</w:t>
            </w:r>
          </w:p>
        </w:tc>
        <w:tc>
          <w:tcPr/>
          <w:p>
            <w:pPr>
              <w:pStyle w:val="Compact"/>
              <w:jc w:val="left"/>
            </w:pPr>
            <w:r>
              <w:t xml:space="preserve">~3.4%</w:t>
            </w:r>
          </w:p>
        </w:tc>
      </w:tr>
      <w:tr>
        <w:tc>
          <w:tcPr/>
          <w:p>
            <w:pPr>
              <w:pStyle w:val="Compact"/>
              <w:jc w:val="left"/>
            </w:pPr>
            <w:r>
              <w:rPr>
                <w:bCs/>
                <w:b/>
              </w:rPr>
              <w:t xml:space="preserve">Scope 3</w:t>
            </w:r>
            <w:r>
              <w:t xml:space="preserve"> </w:t>
            </w:r>
            <w:r>
              <w:t xml:space="preserve">(Other Indirect Emissions)</w:t>
            </w:r>
          </w:p>
        </w:tc>
        <w:tc>
          <w:tcPr/>
          <w:p>
            <w:pPr>
              <w:pStyle w:val="Compact"/>
              <w:jc w:val="left"/>
            </w:pPr>
            <w:r>
              <w:t xml:space="preserve">Raw Material Acquisition &amp; Pre-processing</w:t>
            </w:r>
          </w:p>
        </w:tc>
        <w:tc>
          <w:tcPr/>
          <w:p>
            <w:pPr>
              <w:pStyle w:val="Compact"/>
            </w:pPr>
          </w:p>
        </w:tc>
        <w:tc>
          <w:tcPr>
            <w:vMerge w:val="restart"/>
          </w:tcPr>
          <w:p>
            <w:pPr>
              <w:pStyle w:val="Compact"/>
              <w:jc w:val="left"/>
            </w:pPr>
            <w:r>
              <w:t xml:space="preserve">~96.6%</w:t>
            </w:r>
          </w:p>
        </w:tc>
      </w:tr>
      <w:tr>
        <w:tc>
          <w:tcPr/>
          <w:p>
            <w:pPr>
              <w:pStyle w:val="Compact"/>
            </w:pPr>
          </w:p>
        </w:tc>
        <w:tc>
          <w:tcPr/>
          <w:p>
            <w:pPr>
              <w:pStyle w:val="Compact"/>
              <w:jc w:val="left"/>
            </w:pPr>
            <w:r>
              <w:t xml:space="preserve">Transportation (Upstream &amp; Downstream)</w:t>
            </w:r>
          </w:p>
        </w:tc>
        <w:tc>
          <w:tcPr/>
          <w:p>
            <w:pPr>
              <w:pStyle w:val="Compact"/>
              <w:jc w:val="left"/>
            </w:pPr>
            <w:r>
              <w:t xml:space="preserve">0.158</w:t>
            </w:r>
          </w:p>
        </w:tc>
        <w:tc>
          <w:tcPr>
            <w:gridSpan w:val="1"/>
            <w:vMerge w:val="continue"/>
          </w:tcPr>
          <w:p>
            <w:pPr/>
          </w:p>
        </w:tc>
      </w:tr>
      <w:tr>
        <w:tc>
          <w:tcPr/>
          <w:p>
            <w:pPr>
              <w:pStyle w:val="Compact"/>
            </w:pPr>
          </w:p>
        </w:tc>
        <w:tc>
          <w:tcPr/>
          <w:p>
            <w:pPr>
              <w:pStyle w:val="Compact"/>
              <w:jc w:val="left"/>
            </w:pPr>
            <w:r>
              <w:t xml:space="preserve">Use Phase</w:t>
            </w:r>
          </w:p>
        </w:tc>
        <w:tc>
          <w:tcPr/>
          <w:p>
            <w:pPr>
              <w:pStyle w:val="Compact"/>
              <w:jc w:val="left"/>
            </w:pPr>
            <w:r>
              <w:t xml:space="preserve">7.922</w:t>
            </w:r>
          </w:p>
        </w:tc>
        <w:tc>
          <w:tcPr>
            <w:gridSpan w:val="1"/>
            <w:vMerge w:val="continue"/>
          </w:tcPr>
          <w:p>
            <w:pPr/>
          </w:p>
        </w:tc>
      </w:tr>
      <w:tr>
        <w:tc>
          <w:tcPr/>
          <w:p>
            <w:pPr>
              <w:pStyle w:val="Compact"/>
            </w:pPr>
          </w:p>
        </w:tc>
        <w:tc>
          <w:tcPr/>
          <w:p>
            <w:pPr>
              <w:pStyle w:val="Compact"/>
              <w:jc w:val="left"/>
            </w:pPr>
            <w:r>
              <w:t xml:space="preserve">End-of-Life</w:t>
            </w:r>
          </w:p>
        </w:tc>
        <w:tc>
          <w:tcPr/>
          <w:p>
            <w:pPr>
              <w:pStyle w:val="Compact"/>
              <w:jc w:val="left"/>
            </w:pPr>
            <w:r>
              <w:t xml:space="preserve">-0.146</w:t>
            </w:r>
          </w:p>
        </w:tc>
        <w:tc>
          <w:tcPr>
            <w:gridSpan w:val="1"/>
            <w:vMerge w:val="continue"/>
          </w:tcPr>
          <w:p>
            <w:pPr/>
          </w:p>
        </w:tc>
      </w:tr>
      <w:tr>
        <w:tc>
          <w:tcPr/>
          <w:p>
            <w:pPr>
              <w:pStyle w:val="Compact"/>
              <w:jc w:val="left"/>
            </w:pPr>
            <w:r>
              <w:rPr>
                <w:bCs/>
                <w:b/>
              </w:rPr>
              <w:t xml:space="preserve">Total PCF</w:t>
            </w:r>
          </w:p>
        </w:tc>
        <w:tc>
          <w:tcPr/>
          <w:p>
            <w:pPr>
              <w:pStyle w:val="Compact"/>
            </w:pPr>
          </w:p>
        </w:tc>
        <w:tc>
          <w:tcPr/>
          <w:p>
            <w:pPr>
              <w:pStyle w:val="Compact"/>
            </w:pPr>
          </w:p>
        </w:tc>
        <w:tc>
          <w:tcPr/>
          <w:p>
            <w:pPr>
              <w:pStyle w:val="Compact"/>
              <w:jc w:val="left"/>
            </w:pPr>
            <w:r>
              <w:rPr>
                <w:bCs/>
                <w:b/>
              </w:rPr>
              <w:t xml:space="preserve">100%</w:t>
            </w:r>
          </w:p>
        </w:tc>
      </w:tr>
    </w:tbl>
    <w:p>
      <w:pPr>
        <w:pStyle w:val="BodyText"/>
      </w:pPr>
      <w:r>
        <w:t xml:space="preserve">This breakdown clearly shows that Scope 3 emissions, particularly from the Use Phase and Raw Materials, dominate the product\'s carbon footprint, with total Scope 3 coverage exceeding the 95% requirement.</w:t>
      </w:r>
    </w:p>
    <w:bookmarkEnd w:id="48"/>
    <w:bookmarkStart w:id="49" w:name="X7ef73fe3d39a8d84fae696b42f814aa0d860ec0"/>
    <w:p>
      <w:pPr>
        <w:pStyle w:val="Heading3"/>
      </w:pPr>
      <w:r>
        <w:t xml:space="preserve">4.8. 2026 LSR Update (Land Sector and Removals Standard)</w:t>
      </w:r>
    </w:p>
    <w:p>
      <w:pPr>
        <w:pStyle w:val="FirstParagraph"/>
      </w:pPr>
      <w:r>
        <w:t xml:space="preserve">The Land Sector and Removals (LSR) Standard, effective January 1, 2027, provides crucial guidance for accounting for land-sector emissions and carbon removals. While \'sltkmjjerz\' itself does not directly involve land-use changes in its operation, the LSR Standard is highly relevant for its upstream supply chain, especially if any raw materials (e.g., bio-based plastics, natural fibers, or agricultural products in packaging) have associated land use change emissions, land management net biogenic CO₂ emissions, or land management production emissions. ovlwjqsyev should further investigate the land-use impacts of its material suppliers to fully integrate LSR compliance once the guidance document is published in Q2 2026. The standard also enables reporting of technological CO₂ removals.</w:t>
      </w:r>
    </w:p>
    <w:p>
      <w:r>
        <w:pict>
          <v:rect style="width:0;height:1.5pt" o:hralign="center" o:hrstd="t" o:hr="t"/>
        </w:pict>
      </w:r>
    </w:p>
    <w:bookmarkEnd w:id="49"/>
    <w:bookmarkEnd w:id="50"/>
    <w:bookmarkStart w:id="54" w:name="review-report"/>
    <w:p>
      <w:pPr>
        <w:pStyle w:val="Heading2"/>
      </w:pPr>
      <w:r>
        <w:t xml:space="preserve">5. Review &amp; Report</w:t>
      </w:r>
    </w:p>
    <w:bookmarkStart w:id="51" w:name="emission-hotspots"/>
    <w:p>
      <w:pPr>
        <w:pStyle w:val="Heading3"/>
      </w:pPr>
      <w:r>
        <w:t xml:space="preserve">5.1. Emission Hotspots</w:t>
      </w:r>
    </w:p>
    <w:p>
      <w:pPr>
        <w:pStyle w:val="FirstParagraph"/>
      </w:pPr>
      <w:r>
        <w:t xml:space="preserve">The analysis identifies the following primary emission hotspots for sltkmjjerz:</w:t>
      </w:r>
    </w:p>
    <w:p>
      <w:pPr>
        <w:numPr>
          <w:ilvl w:val="0"/>
          <w:numId w:val="1012"/>
        </w:numPr>
        <w:pStyle w:val="Compact"/>
      </w:pPr>
      <w:r>
        <w:rPr>
          <w:bCs/>
          <w:b/>
        </w:rPr>
        <w:t xml:space="preserve">Use Phase:</w:t>
      </w:r>
      <w:r>
        <w:t xml:space="preserve"> </w:t>
      </w:r>
      <w:r>
        <w:t xml:space="preserve">This phase is the most significant contributor, accounting for approximately</w:t>
      </w:r>
    </w:p>
    <w:p>
      <w:pPr>
        <w:numPr>
          <w:ilvl w:val="0"/>
          <w:numId w:val="1000"/>
        </w:numPr>
        <w:pStyle w:val="Compact"/>
      </w:pPr>
      <w:r>
        <w:t xml:space="preserve">% of the total PCF, largely due to the energy consumption of the product over its 3-year lifespan.</w:t>
      </w:r>
    </w:p>
    <w:p>
      <w:pPr>
        <w:numPr>
          <w:ilvl w:val="0"/>
          <w:numId w:val="1012"/>
        </w:numPr>
        <w:pStyle w:val="Compact"/>
      </w:pPr>
      <w:r>
        <w:rPr>
          <w:bCs/>
          <w:b/>
        </w:rPr>
        <w:t xml:space="preserve">Raw Material Acquisition &amp; Pre-processing:</w:t>
      </w:r>
      <w:r>
        <w:t xml:space="preserve"> </w:t>
      </w:r>
      <w:r>
        <w:t xml:space="preserve">Materials, especially aluminum and battery production, contribute approximately</w:t>
      </w:r>
    </w:p>
    <w:p>
      <w:pPr>
        <w:numPr>
          <w:ilvl w:val="0"/>
          <w:numId w:val="1000"/>
        </w:numPr>
        <w:pStyle w:val="Compact"/>
      </w:pPr>
      <w:r>
        <w:t xml:space="preserve">% of the total PCF. Specific materials like primary aluminum (10.50 kg CO2e/kg) and lithium-ion batteries (12.00 kg CO2e/unit) have high embodied carbon.</w:t>
      </w:r>
    </w:p>
    <w:bookmarkEnd w:id="51"/>
    <w:bookmarkStart w:id="52" w:name="reliability-and-limitations"/>
    <w:p>
      <w:pPr>
        <w:pStyle w:val="Heading3"/>
      </w:pPr>
      <w:r>
        <w:t xml:space="preserve">5.2. Reliability and Limitations</w:t>
      </w:r>
    </w:p>
    <w:p>
      <w:pPr>
        <w:pStyle w:val="FirstParagraph"/>
      </w:pPr>
      <w:r>
        <w:t xml:space="preserve">The reliability of this PCF analysis is high due to the adherence to the GHG Protocol and the use of specific primary data where available (BOM, energy usage, EoL scenarios). However, certain limitations exist:</w:t>
      </w:r>
    </w:p>
    <w:p>
      <w:pPr>
        <w:numPr>
          <w:ilvl w:val="0"/>
          <w:numId w:val="1013"/>
        </w:numPr>
        <w:pStyle w:val="Compact"/>
      </w:pPr>
      <w:r>
        <w:rPr>
          <w:bCs/>
          <w:b/>
        </w:rPr>
        <w:t xml:space="preserve">Secondary Data Reliance:</w:t>
      </w:r>
      <w:r>
        <w:t xml:space="preserve"> </w:t>
      </w:r>
      <w:r>
        <w:t xml:space="preserve">Where primary data was unavailable (e.g., specific emission factors for all sub-processes within BOM item production, detailed supply chain logistics beyond assumed distances and modes), industry-average emission factors from databases like Ecoinvent and DEFRA were used. These represent typical values but may not perfectly reflect ovlwjqsyev\'s specific suppliers or processes.</w:t>
      </w:r>
    </w:p>
    <w:p>
      <w:pPr>
        <w:numPr>
          <w:ilvl w:val="0"/>
          <w:numId w:val="1013"/>
        </w:numPr>
        <w:pStyle w:val="Compact"/>
      </w:pPr>
      <w:r>
        <w:rPr>
          <w:bCs/>
          <w:b/>
        </w:rPr>
        <w:t xml:space="preserve">Assumptions:</w:t>
      </w:r>
      <w:r>
        <w:t xml:space="preserve"> </w:t>
      </w:r>
      <w:r>
        <w:t xml:space="preserve">Several assumptions were made for placeholders (e.g., specific transport distances, daily usage patterns, exact EoL pathways for all components), which would ideally be replaced by more granular company-specific data for increased accuracy in a live assessment.</w:t>
      </w:r>
    </w:p>
    <w:p>
      <w:pPr>
        <w:numPr>
          <w:ilvl w:val="0"/>
          <w:numId w:val="1013"/>
        </w:numPr>
        <w:pStyle w:val="Compact"/>
      </w:pPr>
      <w:r>
        <w:rPr>
          <w:bCs/>
          <w:b/>
        </w:rPr>
        <w:t xml:space="preserve">Dynamic Environment:</w:t>
      </w:r>
      <w:r>
        <w:t xml:space="preserve"> </w:t>
      </w:r>
      <w:r>
        <w:t xml:space="preserve">Emission factors, especially for electricity grids, are continually evolving. The factors used are based on the most recent available data (e.g., China 2023, Europe 2024), but future updates could alter results.</w:t>
      </w:r>
    </w:p>
    <w:bookmarkEnd w:id="52"/>
    <w:bookmarkStart w:id="53" w:name="recommendations-for-emission-reduction"/>
    <w:p>
      <w:pPr>
        <w:pStyle w:val="Heading3"/>
      </w:pPr>
      <w:r>
        <w:t xml:space="preserve">5.3. Recommendations for Emission Reduction</w:t>
      </w:r>
    </w:p>
    <w:p>
      <w:pPr>
        <w:pStyle w:val="FirstParagraph"/>
      </w:pPr>
      <w:r>
        <w:t xml:space="preserve">Based on the hotspot analysis, ovlwjqsyev should focus on:</w:t>
      </w:r>
    </w:p>
    <w:p>
      <w:pPr>
        <w:numPr>
          <w:ilvl w:val="0"/>
          <w:numId w:val="1014"/>
        </w:numPr>
        <w:pStyle w:val="Compact"/>
      </w:pPr>
      <w:r>
        <w:rPr>
          <w:bCs/>
          <w:b/>
        </w:rPr>
        <w:t xml:space="preserve">Optimize Use Phase:</w:t>
      </w:r>
      <w:r>
        <w:t xml:space="preserve"> </w:t>
      </w:r>
      <w:r>
        <w:t xml:space="preserve">Invest in R&amp;D to enhance energy efficiency of sltkmjjerz during its operational life. Educating consumers on energy-saving usage patterns could also contribute.</w:t>
      </w:r>
    </w:p>
    <w:p>
      <w:pPr>
        <w:numPr>
          <w:ilvl w:val="0"/>
          <w:numId w:val="1014"/>
        </w:numPr>
        <w:pStyle w:val="Compact"/>
      </w:pPr>
      <w:r>
        <w:rPr>
          <w:bCs/>
          <w:b/>
        </w:rPr>
        <w:t xml:space="preserve">Sustainable Material Sourcing:</w:t>
      </w:r>
      <w:r>
        <w:t xml:space="preserve"> </w:t>
      </w:r>
      <w:r>
        <w:t xml:space="preserve">Explore opportunities for using lower-carbon materials, such as recycled aluminum, bio-based plastics, or materials from suppliers with certified low-carbon production processes. Engage with suppliers to obtain product-specific emission data.</w:t>
      </w:r>
    </w:p>
    <w:p>
      <w:pPr>
        <w:numPr>
          <w:ilvl w:val="0"/>
          <w:numId w:val="1014"/>
        </w:numPr>
        <w:pStyle w:val="Compact"/>
      </w:pPr>
      <w:r>
        <w:rPr>
          <w:bCs/>
          <w:b/>
        </w:rPr>
        <w:t xml:space="preserve">Extend Product Lifespan:</w:t>
      </w:r>
      <w:r>
        <w:t xml:space="preserve"> </w:t>
      </w:r>
      <w:r>
        <w:t xml:space="preserve">Designing for durability and repairability can reduce the frequency of new purchases and thus the overall lifecycle impact per functional unit.</w:t>
      </w:r>
    </w:p>
    <w:p>
      <w:pPr>
        <w:numPr>
          <w:ilvl w:val="0"/>
          <w:numId w:val="1014"/>
        </w:numPr>
        <w:pStyle w:val="Compact"/>
      </w:pPr>
      <w:r>
        <w:rPr>
          <w:bCs/>
          <w:b/>
        </w:rPr>
        <w:t xml:space="preserve">Enhance Circular Economy Initiatives:</w:t>
      </w:r>
      <w:r>
        <w:t xml:space="preserve"> </w:t>
      </w:r>
      <w:r>
        <w:t xml:space="preserve">Further develop and promote take-back and recycling programs (rfiuxwpyeq) to ensure maximum material recovery and minimize waste, potentially expanding to include more complex electronic waste streams.</w:t>
      </w:r>
    </w:p>
    <w:p>
      <w:pPr>
        <w:numPr>
          <w:ilvl w:val="0"/>
          <w:numId w:val="1014"/>
        </w:numPr>
        <w:pStyle w:val="Compact"/>
      </w:pPr>
      <w:r>
        <w:rPr>
          <w:bCs/>
          <w:b/>
        </w:rPr>
        <w:t xml:space="preserve">Renewable Energy Adoption:</w:t>
      </w:r>
      <w:r>
        <w:t xml:space="preserve"> </w:t>
      </w:r>
      <w:r>
        <w:t xml:space="preserve">Continue and potentially increase the reliance on renewable energy (mkdsseznhs) for manufacturing operations in China. Explore renewable energy procurement options for suppliers within the value chain.</w:t>
      </w:r>
    </w:p>
    <w:p>
      <w:r>
        <w:pict>
          <v:rect style="width:0;height:1.5pt" o:hralign="center" o:hrstd="t" o:hr="t"/>
        </w:pict>
      </w:r>
    </w:p>
    <w:bookmarkEnd w:id="53"/>
    <w:bookmarkEnd w:id="54"/>
    <w:bookmarkStart w:id="55" w:name="conclusion"/>
    <w:p>
      <w:pPr>
        <w:pStyle w:val="Heading2"/>
      </w:pPr>
      <w:r>
        <w:t xml:space="preserve">Conclusion</w:t>
      </w:r>
    </w:p>
    <w:p>
      <w:pPr>
        <w:pStyle w:val="FirstParagraph"/>
      </w:pPr>
      <w:r>
        <w:t xml:space="preserve">This detailed Product Carbon Footprint analysis for sltkmjjerz provides</w:t>
      </w:r>
      <w:r>
        <w:t xml:space="preserve"> </w:t>
      </w:r>
      <w:r>
        <w:rPr>
          <w:bCs/>
          <w:b/>
        </w:rPr>
        <w:t xml:space="preserve">ovlwjqsyev</w:t>
      </w:r>
      <w:r>
        <w:t xml:space="preserve"> </w:t>
      </w:r>
      <w:r>
        <w:t xml:space="preserve">with a clear understanding of its environmental impact across the product\'s lifecycle, adhering to the</w:t>
      </w:r>
      <w:r>
        <w:t xml:space="preserve"> </w:t>
      </w:r>
      <w:r>
        <w:rPr>
          <w:bCs/>
          <w:b/>
        </w:rPr>
        <w:t xml:space="preserve">GHG Protocol</w:t>
      </w:r>
      <w:r>
        <w:t xml:space="preserve">. The most significant emission contributions arise from the Use Phase and Raw Material Acquisition, emphasizing the need for strategic interventions in product design, material sourcing, and energy efficiency. By addressing these hotspots and leveraging the insights from this report, ovlwjqsyev can significantly reduce the carbon footprint of sltkmjjerz and contribute to broader sustainability goals, in line with emerging standards like the 2026 LSR Update.</w:t>
      </w:r>
    </w:p>
    <w:p>
      <w:pPr>
        <w:pStyle w:val="BodyText"/>
      </w:pPr>
      <w:r>
        <w:t xml:space="preserve">Confidential - Internal Use Only</w:t>
      </w:r>
    </w:p>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sltkmjjerz</dc:title>
  <dc:creator/>
  <dc:description>High-detail Product Carbon Footprint (PCF) analysis for product sltkmjjerz, performed by Senior Sustainability Consultant lwlqwtxwxe for company ovlwjqsyev, adhering to GHG Protocol standards.</dc:description>
  <dc:language>en</dc:language>
  <cp:keywords/>
  <dcterms:created xsi:type="dcterms:W3CDTF">2026-05-30T18:34:58Z</dcterms:created>
  <dcterms:modified xsi:type="dcterms:W3CDTF">2026-05-30T18:34:58Z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