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slkmpqtuzh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slkmpqtuzh</w:t>
      </w:r>
    </w:p>
    <w:p>
      <w:pPr>
        <w:pStyle w:val="BodyText"/>
      </w:pPr>
      <w:r>
        <w:rPr>
          <w:bCs/>
          <w:b/>
        </w:rPr>
        <w:t xml:space="preserve">Company Name:</w:t>
      </w:r>
      <w:r>
        <w:t xml:space="preserve"> </w:t>
      </w:r>
      <w:r>
        <w:t xml:space="preserve">zntppdvmqn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rhkotqtzle</w:t>
      </w:r>
    </w:p>
    <w:p>
      <w:pPr>
        <w:pStyle w:val="BodyText"/>
      </w:pPr>
      <w:r>
        <w:t xml:space="preserve">Disclaimer: This report is generated based on available data and industry standards. While every effort has been made to ensure accuracy, the actual environmental impacts may vary depending on specific operational conditions and evolving data.</w:t>
      </w:r>
    </w:p>
    <w:bookmarkEnd w:id="20"/>
    <w:bookmarkStart w:id="42" w:name="X8a6089966600d91864fe47445a1753c3e0f0757"/>
    <w:p>
      <w:pPr>
        <w:pStyle w:val="Heading1"/>
      </w:pPr>
      <w:r>
        <w:t xml:space="preserve">Product Carbon Footprint (PCF) Analysis Report for slkmpqtuzh</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rhkotqtzle</w:t>
      </w:r>
    </w:p>
    <w:p>
      <w:pPr>
        <w:pStyle w:val="BodyText"/>
      </w:pPr>
      <w:r>
        <w:t xml:space="preserve">This report presents a high-detail Product Carbon Footprint (PCF) analysis for the product "slkmpqtuzh" manufactured by "zntppdvmqn". The analysis strictly adheres to the Greenhouse Gas (GHG) Protocol, incorporating the latest 2026 updates, including the Land Sector and Removals (LSR) Standard and stringent Scope 3 reporting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entire lifecycle of \'slkmpqtuzh\'. The assessment, performed for zntppdvmqn, identifies key emission hotspots from raw material acquisition, manufacturing, transport, the use phase, and end-of-life. By meticulously applying GHG Protocol standards, including the upcoming 2026 revisions, this report provides a comprehensive understanding of the product\'s environmental impact, highlighting areas for strategic decarbonization and promoting circular economy principles. The total estimated PCF for one functional unit of slkmpqtuzh is calculated to be [Calculated Total PCF] kg CO2e.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\'slkmpqtuzh\' follows the five-step methodology as outlined by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\'slkmpqtuzh\'. This represents the primary output of the system under analysis.</w:t>
      </w:r>
    </w:p>
    <w:p>
      <w:pPr>
        <w:numPr>
          <w:ilvl w:val="0"/>
          <w:numId w:val="1001"/>
        </w:numPr>
        <w:pStyle w:val="Compact"/>
      </w:pPr>
      <w:r>
        <w:rPr>
          <w:bCs/>
          <w:b/>
        </w:rPr>
        <w:t xml:space="preserve">System Boundary:</w:t>
      </w:r>
      <w:r>
        <w:t xml:space="preserve"> </w:t>
      </w:r>
      <w:r>
        <w:t xml:space="preserve">factory_gate. The analysis covers emissions from raw material extraction, component manufacturing, production at the final assembly factory (gate-to-gate), inbound logistics to the factory, and outbound logistics to the first point of sale/distribution. While the \'Use Phase\' and \'End-of-Life\' are included as per the request, the primary system boundary for initial analysis is factory_gate.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primarily based on the energy mix in China, while downstream transport and use-phase considerations are centered around European contexts.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parameters (e.g., mass) or economic value, in accordance with GHG Protocol guidance. For this specific product analysis, direct attribution is largely feasible due to the defined functional unit.</w:t>
      </w:r>
    </w:p>
    <w:bookmarkEnd w:id="22"/>
    <w:bookmarkStart w:id="23" w:name="accounting-standard"/>
    <w:p>
      <w:pPr>
        <w:pStyle w:val="Heading3"/>
      </w:pPr>
      <w:r>
        <w:t xml:space="preserve">1.2. Accounting Standard</w:t>
      </w:r>
    </w:p>
    <w:p>
      <w:pPr>
        <w:pStyle w:val="FirstParagraph"/>
      </w:pPr>
      <w:r>
        <w:t xml:space="preserve">This report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steam, heating, and cooling), and Scope 3 (all other indirect emissions that occur in the value chain, both upstream and downstream). The analysis is prepared in anticipation of the 2026 updates.</w:t>
      </w:r>
    </w:p>
    <w:bookmarkEnd w:id="23"/>
    <w:bookmarkStart w:id="24" w:name="ghg-protocol-updates-integration"/>
    <w:p>
      <w:pPr>
        <w:pStyle w:val="Heading3"/>
      </w:pPr>
      <w:r>
        <w:t xml:space="preserve">1.3. 2026 GHG Protocol Updates Integration</w:t>
      </w:r>
    </w:p>
    <w:p>
      <w:pPr>
        <w:numPr>
          <w:ilvl w:val="0"/>
          <w:numId w:val="1002"/>
        </w:numPr>
        <w:pStyle w:val="Compact"/>
      </w:pPr>
      <w:r>
        <w:rPr>
          <w:bCs/>
          <w:b/>
        </w:rPr>
        <w:t xml:space="preserve">Land Sector and Removals (LSR) Standard:</w:t>
      </w:r>
      <w:r>
        <w:t xml:space="preserve"> </w:t>
      </w:r>
      <w:r>
        <w:t xml:space="preserve">The recently released LSR Standard (effective January 1, 2027) sets requirements for accounting and reporting land-based GHG emissions and removals. While \'slkmpqtuzh\' is an manufactured product and direct land-use change emissions for its components were not explicitly provided, the principles of the LSR Standard are acknowledged, particularly for any raw materials with significant agricultural or land-use impacts in its upstream supply chain. Forest carbon accounting is explicitly excluded from the current version of the LSR Standard.</w:t>
      </w:r>
    </w:p>
    <w:p>
      <w:pPr>
        <w:numPr>
          <w:ilvl w:val="0"/>
          <w:numId w:val="1002"/>
        </w:numPr>
        <w:pStyle w:val="Compact"/>
      </w:pPr>
      <w:r>
        <w:rPr>
          <w:bCs/>
          <w:b/>
        </w:rPr>
        <w:t xml:space="preserve">Scope 3 Compliance:</w:t>
      </w:r>
      <w:r>
        <w:t xml:space="preserve"> </w:t>
      </w:r>
      <w:r>
        <w:t xml:space="preserve">As per the proposed 2026 requirements, this analysis aims for at least 95% coverage of total required Scope 3 emissions. Any exclusions (not exceeding 5%) are considered immaterial and are noted with justification. This enhances the completeness, consistency, and transparency of the inventory.</w:t>
      </w:r>
    </w:p>
    <w:p>
      <w:pPr>
        <w:numPr>
          <w:ilvl w:val="0"/>
          <w:numId w:val="1002"/>
        </w:numPr>
        <w:pStyle w:val="Compact"/>
      </w:pPr>
      <w:r>
        <w:rPr>
          <w:bCs/>
          <w:b/>
        </w:rPr>
        <w:t xml:space="preserve">Stock-Based Accounting:</w:t>
      </w:r>
      <w:r>
        <w:t xml:space="preserve"> </w:t>
      </w:r>
      <w:r>
        <w:t xml:space="preserve">The 2026 revisions introduce a shift towards annualized stock-based accounting for the use phase. While the \'Use Phase\' calculation below provides total emissions over the product lifespan, these figures can be readily adapted for annual reporting in line with the evolving standard.</w:t>
      </w:r>
    </w:p>
    <w:p>
      <w:pPr>
        <w:numPr>
          <w:ilvl w:val="0"/>
          <w:numId w:val="1002"/>
        </w:numPr>
        <w:pStyle w:val="Compact"/>
      </w:pPr>
      <w:r>
        <w:rPr>
          <w:bCs/>
          <w:b/>
        </w:rPr>
        <w:t xml:space="preserve">Data Disaggregation:</w:t>
      </w:r>
      <w:r>
        <w:t xml:space="preserve"> </w:t>
      </w:r>
      <w:r>
        <w:t xml:space="preserve">Efforts have been made to disaggregate Scope 3 emissions by data type (primary vs. secondary) where applicable, to improve transparency and data quality, as per upcoming requirements.</w:t>
      </w:r>
    </w:p>
    <w:p>
      <w:r>
        <w:pict>
          <v:rect style="width:0;height:1.5pt" o:hralign="center" o:hrstd="t" o:hr="t"/>
        </w:pict>
      </w:r>
    </w:p>
    <w:bookmarkEnd w:id="24"/>
    <w:bookmarkEnd w:id="25"/>
    <w:bookmarkStart w:id="31" w:name="lifecycle-mapping-and-data-collection"/>
    <w:p>
      <w:pPr>
        <w:pStyle w:val="Heading2"/>
      </w:pPr>
      <w:r>
        <w:t xml:space="preserve">2. Lifecycle Mapping and Data Collection</w:t>
      </w:r>
    </w:p>
    <w:p>
      <w:pPr>
        <w:pStyle w:val="FirstParagraph"/>
      </w:pPr>
      <w:r>
        <w:t xml:space="preserve">The lifecycle of \'slkmpqtuzh\' is mapped across key stages, and relevant data points are collected to build a comprehensive Life Cycle Inventory (LCI).</w:t>
      </w:r>
    </w:p>
    <w:bookmarkStart w:id="26" w:name="X532c2989218e0cac4321dc155115045d4634ff4"/>
    <w:p>
      <w:pPr>
        <w:pStyle w:val="Heading3"/>
      </w:pPr>
      <w:r>
        <w:t xml:space="preserve">2.1. Detailed Bill of Materials (BOM) for slkmpqtuzh</w:t>
      </w:r>
    </w:p>
    <w:p>
      <w:pPr>
        <w:pStyle w:val="FirstParagraph"/>
      </w:pPr>
      <w:r>
        <w:t xml:space="preserve">The following Bill of Materials (BOM) provides a high-accuracy input for material impact calculation. The \'Total Carbon (kg CO2e)\' for each item is directly utilized as per the provided data, reflecting the embedded emissions from raw material acquisition and processing for the specified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BOM002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bl>
    <w:p>
      <w:pPr>
        <w:pStyle w:val="BodyText"/>
      </w:pPr>
      <w:r>
        <w:rPr>
          <w:bCs/>
          <w:b/>
        </w:rPr>
        <w:t xml:space="preserve">Total Material Impact:</w:t>
      </w:r>
      <w:r>
        <w:t xml:space="preserve"> </w:t>
      </w:r>
      <w:r>
        <w:t xml:space="preserve">6.425 kg CO2e</w:t>
      </w:r>
    </w:p>
    <w:p>
      <w:pPr>
        <w:pStyle w:val="BodyText"/>
      </w:pPr>
      <w:r>
        <w:rPr>
          <w:bCs/>
          <w:b/>
        </w:rPr>
        <w:t xml:space="preserve">Total Product Weight (based on BOM):</w:t>
      </w:r>
      <w:r>
        <w:t xml:space="preserve"> </w:t>
      </w:r>
      <w:r>
        <w:t xml:space="preserve">0.95 kg</w:t>
      </w:r>
    </w:p>
    <w:bookmarkEnd w:id="26"/>
    <w:bookmarkStart w:id="27" w:name="X6c4ca37e2fd22a532db1ccccca430d78bbe6c90"/>
    <w:p>
      <w:pPr>
        <w:pStyle w:val="Heading3"/>
      </w:pPr>
      <w:r>
        <w:t xml:space="preserve">2.2. Energy Inputs (Production Phase - zntppdvmqn Factory in China)</w:t>
      </w:r>
    </w:p>
    <w:p>
      <w:pPr>
        <w:numPr>
          <w:ilvl w:val="0"/>
          <w:numId w:val="1003"/>
        </w:numPr>
        <w:pStyle w:val="Compact"/>
      </w:pPr>
      <w:r>
        <w:rPr>
          <w:bCs/>
          <w:b/>
        </w:rPr>
        <w:t xml:space="preserve">Energy Intensity (kWh/unit):</w:t>
      </w:r>
      <w:r>
        <w:t xml:space="preserve"> </w:t>
      </w:r>
      <w:r>
        <w:t xml:space="preserve">yutmrywloq (e.g., 10 kWh/unit)</w:t>
      </w:r>
    </w:p>
    <w:p>
      <w:pPr>
        <w:numPr>
          <w:ilvl w:val="0"/>
          <w:numId w:val="1003"/>
        </w:numPr>
        <w:pStyle w:val="Compact"/>
      </w:pPr>
      <w:r>
        <w:rPr>
          <w:bCs/>
          <w:b/>
        </w:rPr>
        <w:t xml:space="preserve">Renewable Energy Usage (%):</w:t>
      </w:r>
      <w:r>
        <w:t xml:space="preserve"> </w:t>
      </w:r>
      <w:r>
        <w:t xml:space="preserve">xnulmprsxq (e.g., 50%)</w:t>
      </w:r>
    </w:p>
    <w:p>
      <w:pPr>
        <w:numPr>
          <w:ilvl w:val="0"/>
          <w:numId w:val="1003"/>
        </w:numPr>
        <w:pStyle w:val="Compact"/>
      </w:pPr>
      <w:r>
        <w:rPr>
          <w:bCs/>
          <w:b/>
        </w:rPr>
        <w:t xml:space="preserve">Non-Renewable Energy (%):</w:t>
      </w:r>
      <w:r>
        <w:t xml:space="preserve"> </w:t>
      </w:r>
      <w:r>
        <w:t xml:space="preserve">100% - xnulmprsxq (e.g., 50%)</w:t>
      </w:r>
    </w:p>
    <w:p>
      <w:pPr>
        <w:numPr>
          <w:ilvl w:val="0"/>
          <w:numId w:val="1003"/>
        </w:numPr>
        <w:pStyle w:val="Compact"/>
      </w:pPr>
      <w:r>
        <w:rPr>
          <w:bCs/>
          <w:b/>
        </w:rPr>
        <w:t xml:space="preserve">China Grid Emission Factor (Non-Renewable Portion):</w:t>
      </w:r>
      <w:r>
        <w:t xml:space="preserve"> </w:t>
      </w:r>
      <w:r>
        <w:t xml:space="preserve">0.6 kg CO2e/kWh (approximate average, based on data ranging from 0.530 to 0.6205 kgCO2e/kWh)</w:t>
      </w:r>
    </w:p>
    <w:bookmarkEnd w:id="27"/>
    <w:bookmarkStart w:id="28" w:name="logistics-data"/>
    <w:p>
      <w:pPr>
        <w:pStyle w:val="Heading3"/>
      </w:pPr>
      <w:r>
        <w:t xml:space="preserve">2.3. Logistics Data</w:t>
      </w:r>
    </w:p>
    <w:p>
      <w:pPr>
        <w:numPr>
          <w:ilvl w:val="0"/>
          <w:numId w:val="1004"/>
        </w:numPr>
        <w:pStyle w:val="Compact"/>
      </w:pPr>
      <w:r>
        <w:rPr>
          <w:bCs/>
          <w:b/>
        </w:rPr>
        <w:t xml:space="preserve">Transport Mode (Long-Haul):</w:t>
      </w:r>
      <w:r>
        <w:t xml:space="preserve"> </w:t>
      </w:r>
      <w:r>
        <w:t xml:space="preserve">Ocean Freight (Container Ship) from China to Europe.</w:t>
      </w:r>
    </w:p>
    <w:p>
      <w:pPr>
        <w:numPr>
          <w:ilvl w:val="0"/>
          <w:numId w:val="1004"/>
        </w:numPr>
        <w:pStyle w:val="Compact"/>
      </w:pPr>
      <w:r>
        <w:rPr>
          <w:bCs/>
          <w:b/>
        </w:rPr>
        <w:t xml:space="preserve">Transport Mode (Mid-Haul):</w:t>
      </w:r>
      <w:r>
        <w:t xml:space="preserve"> </w:t>
      </w:r>
      <w:r>
        <w:t xml:space="preserve">Heavy Goods Vehicle (HGV) within Europe.</w:t>
      </w:r>
    </w:p>
    <w:p>
      <w:pPr>
        <w:numPr>
          <w:ilvl w:val="0"/>
          <w:numId w:val="1004"/>
        </w:numPr>
        <w:pStyle w:val="Compact"/>
      </w:pPr>
      <w:r>
        <w:rPr>
          <w:bCs/>
          <w:b/>
        </w:rPr>
        <w:t xml:space="preserve">Transport Mode (Last-Mile):</w:t>
      </w:r>
      <w:r>
        <w:t xml:space="preserve"> </w:t>
      </w:r>
      <w:r>
        <w:t xml:space="preserve">Light Commercial Vehicle (LCV).</w:t>
      </w:r>
    </w:p>
    <w:p>
      <w:pPr>
        <w:numPr>
          <w:ilvl w:val="0"/>
          <w:numId w:val="1004"/>
        </w:numPr>
        <w:pStyle w:val="Compact"/>
      </w:pPr>
      <w:r>
        <w:rPr>
          <w:bCs/>
          <w:b/>
        </w:rPr>
        <w:t xml:space="preserve">Transport Distance:</w:t>
      </w:r>
      <w:r>
        <w:t xml:space="preserve"> </w:t>
      </w:r>
      <w:r>
        <w:t xml:space="preserve">tgzisiiynj (e.g., 15000 km for ocean freight; 1000 km for road freight; 50 km for last-mile LCV)</w:t>
      </w:r>
    </w:p>
    <w:p>
      <w:pPr>
        <w:numPr>
          <w:ilvl w:val="0"/>
          <w:numId w:val="1004"/>
        </w:numPr>
        <w:pStyle w:val="Compact"/>
      </w:pPr>
      <w:r>
        <w:rPr>
          <w:bCs/>
          <w:b/>
        </w:rPr>
        <w:t xml:space="preserve">Product Weight for Transport:</w:t>
      </w:r>
      <w:r>
        <w:t xml:space="preserve"> </w:t>
      </w:r>
      <w:r>
        <w:t xml:space="preserve">0.95 kg (from BOM sum)</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HGV Emission Factor:</w:t>
      </w:r>
      <w:r>
        <w:t xml:space="preserve"> </w:t>
      </w:r>
      <w:r>
        <w:t xml:space="preserve">0.06 kg CO2e/tonne-km (average for long-haul HGV in Europe)</w:t>
      </w:r>
    </w:p>
    <w:p>
      <w:pPr>
        <w:numPr>
          <w:ilvl w:val="0"/>
          <w:numId w:val="1004"/>
        </w:numPr>
        <w:pStyle w:val="Compact"/>
      </w:pPr>
      <w:r>
        <w:rPr>
          <w:bCs/>
          <w:b/>
        </w:rPr>
        <w:t xml:space="preserve">LCV Emission Factor (Estimated):</w:t>
      </w:r>
      <w:r>
        <w:t xml:space="preserve"> </w:t>
      </w:r>
      <w:r>
        <w:t xml:space="preserve">0.15 kg CO2e/tonne-km (estimated for last-mile delivery, higher than HGV due to smaller load factors)</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itejdfysep (e.g., 5 years)</w:t>
      </w:r>
    </w:p>
    <w:p>
      <w:pPr>
        <w:numPr>
          <w:ilvl w:val="0"/>
          <w:numId w:val="1005"/>
        </w:numPr>
        <w:pStyle w:val="Compact"/>
      </w:pPr>
      <w:r>
        <w:rPr>
          <w:bCs/>
          <w:b/>
        </w:rPr>
        <w:t xml:space="preserve">Energy Consumption in Use:</w:t>
      </w:r>
      <w:r>
        <w:t xml:space="preserve"> </w:t>
      </w:r>
      <w:r>
        <w:t xml:space="preserve">uhziwkowgd (e.g., 20 kWh/year)</w:t>
      </w:r>
    </w:p>
    <w:p>
      <w:pPr>
        <w:numPr>
          <w:ilvl w:val="0"/>
          <w:numId w:val="1005"/>
        </w:numPr>
        <w:pStyle w:val="Compact"/>
      </w:pPr>
      <w:r>
        <w:rPr>
          <w:bCs/>
          <w:b/>
        </w:rPr>
        <w:t xml:space="preserve">Europe Grid Emission Factor (Use Phase):</w:t>
      </w:r>
      <w:r>
        <w:t xml:space="preserve"> </w:t>
      </w:r>
      <w:r>
        <w:t xml:space="preserve">0.25 kg CO2e/kWh (approximate average for EU grid mix)</w:t>
      </w:r>
    </w:p>
    <w:bookmarkEnd w:id="29"/>
    <w:bookmarkStart w:id="30"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uwdrmxqdzx (e.g., 70%)</w:t>
      </w:r>
    </w:p>
    <w:p>
      <w:pPr>
        <w:numPr>
          <w:ilvl w:val="0"/>
          <w:numId w:val="1006"/>
        </w:numPr>
        <w:pStyle w:val="Compact"/>
      </w:pPr>
      <w:r>
        <w:rPr>
          <w:bCs/>
          <w:b/>
        </w:rPr>
        <w:t xml:space="preserve">Circular/Take-back Programs:</w:t>
      </w:r>
      <w:r>
        <w:t xml:space="preserve"> </w:t>
      </w:r>
      <w:r>
        <w:t xml:space="preserve">oqsvxfisji (e.g., Yes, formal take-back program in place in key European markets)</w:t>
      </w:r>
    </w:p>
    <w:p>
      <w:pPr>
        <w:numPr>
          <w:ilvl w:val="0"/>
          <w:numId w:val="1006"/>
        </w:numPr>
        <w:pStyle w:val="Compact"/>
      </w:pPr>
      <w:r>
        <w:rPr>
          <w:bCs/>
          <w:b/>
        </w:rPr>
        <w:t xml:space="preserve">Avoided Emissions (Aluminium Recycling):</w:t>
      </w:r>
      <w:r>
        <w:t xml:space="preserve"> </w:t>
      </w:r>
      <w:r>
        <w:t xml:space="preserve">-5.0 kg CO2e/kg</w:t>
      </w:r>
    </w:p>
    <w:p>
      <w:pPr>
        <w:numPr>
          <w:ilvl w:val="0"/>
          <w:numId w:val="1006"/>
        </w:numPr>
        <w:pStyle w:val="Compact"/>
      </w:pPr>
      <w:r>
        <w:rPr>
          <w:bCs/>
          <w:b/>
        </w:rPr>
        <w:t xml:space="preserve">Avoided Emissions (Plastic Recycling):</w:t>
      </w:r>
      <w:r>
        <w:t xml:space="preserve"> </w:t>
      </w:r>
      <w:r>
        <w:t xml:space="preserve">-1.5 kg CO2e/kg (average benefit)</w:t>
      </w:r>
    </w:p>
    <w:p>
      <w:pPr>
        <w:numPr>
          <w:ilvl w:val="0"/>
          <w:numId w:val="1006"/>
        </w:numPr>
        <w:pStyle w:val="Compact"/>
      </w:pPr>
      <w:r>
        <w:rPr>
          <w:bCs/>
          <w:b/>
        </w:rPr>
        <w:t xml:space="preserve">Avoided Emissions (Copper Recycling):</w:t>
      </w:r>
      <w:r>
        <w:t xml:space="preserve"> </w:t>
      </w:r>
      <w:r>
        <w:t xml:space="preserve">-3.0 kg CO2e/kg (average benefit)</w:t>
      </w:r>
    </w:p>
    <w:p>
      <w:pPr>
        <w:numPr>
          <w:ilvl w:val="0"/>
          <w:numId w:val="1006"/>
        </w:numPr>
        <w:pStyle w:val="Compact"/>
      </w:pPr>
      <w:r>
        <w:rPr>
          <w:bCs/>
          <w:b/>
        </w:rPr>
        <w:t xml:space="preserve">Waste to Landfill Emission Factor:</w:t>
      </w:r>
      <w:r>
        <w:t xml:space="preserve"> </w:t>
      </w:r>
      <w:r>
        <w:t xml:space="preserve">0.5 kg CO2e/kg (general mixed waste)</w:t>
      </w:r>
    </w:p>
    <w:p>
      <w:r>
        <w:pict>
          <v:rect style="width:0;height:1.5pt" o:hralign="center" o:hrstd="t" o:hr="t"/>
        </w:pict>
      </w:r>
    </w:p>
    <w:bookmarkEnd w:id="30"/>
    <w:bookmarkEnd w:id="31"/>
    <w:bookmarkStart w:id="37" w:name="Xf3429bd73d107a0ac6e7d0a93ddad7a4656728d"/>
    <w:p>
      <w:pPr>
        <w:pStyle w:val="Heading2"/>
      </w:pPr>
      <w:r>
        <w:t xml:space="preserve">3. Emissions Calculation (Activity Data * Emission Factor = CO2e)</w:t>
      </w:r>
    </w:p>
    <w:p>
      <w:pPr>
        <w:pStyle w:val="FirstParagraph"/>
      </w:pPr>
      <w:r>
        <w:t xml:space="preserve">This section details the calculation of GHG emissions across the product lifecycle, categorized by GHG Protocol Scopes.</w:t>
      </w:r>
    </w:p>
    <w:bookmarkStart w:id="32" w:name="Xcff1854b9390432099a4da20473e6bf7c78ebe7"/>
    <w:p>
      <w:pPr>
        <w:pStyle w:val="Heading3"/>
      </w:pPr>
      <w:r>
        <w:t xml:space="preserve">3.1. Upstream Emissions (Scope 3, Category 1 - Purchased Goods and Services)</w:t>
      </w:r>
    </w:p>
    <w:p>
      <w:pPr>
        <w:pStyle w:val="FirstParagraph"/>
      </w:pPr>
      <w:r>
        <w:t xml:space="preserve">These emissions arise from the extraction, production, and processing of raw materials and components used in \'slkmpqtuzh\'.</w:t>
      </w:r>
    </w:p>
    <w:p>
      <w:pPr>
        <w:numPr>
          <w:ilvl w:val="0"/>
          <w:numId w:val="1007"/>
        </w:numPr>
        <w:pStyle w:val="Compact"/>
      </w:pPr>
      <w:r>
        <w:rPr>
          <w:bCs/>
          <w:b/>
        </w:rPr>
        <w:t xml:space="preserve">Material Production:</w:t>
      </w:r>
      <w:r>
        <w:t xml:space="preserve"> </w:t>
      </w:r>
      <w:r>
        <w:t xml:space="preserve">Based on the provided BOM, the total carbon impact from material acquisition and pre-processing is</w:t>
      </w:r>
      <w:r>
        <w:t xml:space="preserve"> </w:t>
      </w:r>
      <w:r>
        <w:rPr>
          <w:bCs/>
          <w:b/>
        </w:rPr>
        <w:t xml:space="preserve">6.425 kg CO2e</w:t>
      </w:r>
      <w:r>
        <w:t xml:space="preserve">.</w:t>
      </w:r>
    </w:p>
    <w:bookmarkEnd w:id="32"/>
    <w:bookmarkStart w:id="33" w:name="core-emissions-scope-1-2---manufacturing"/>
    <w:p>
      <w:pPr>
        <w:pStyle w:val="Heading3"/>
      </w:pPr>
      <w:r>
        <w:t xml:space="preserve">3.2. Core Emissions (Scope 1 &amp; 2 - Manufacturing)</w:t>
      </w:r>
    </w:p>
    <w:p>
      <w:pPr>
        <w:pStyle w:val="FirstParagraph"/>
      </w:pPr>
      <w:r>
        <w:t xml:space="preserve">These emissions occur at zntppdvmqn\'s factory in China during the production of \'slkmpqtuzh\'.</w:t>
      </w:r>
    </w:p>
    <w:p>
      <w:pPr>
        <w:numPr>
          <w:ilvl w:val="0"/>
          <w:numId w:val="1008"/>
        </w:numPr>
        <w:pStyle w:val="Compact"/>
      </w:pPr>
      <w:r>
        <w:rPr>
          <w:bCs/>
          <w:b/>
        </w:rPr>
        <w:t xml:space="preserve">Scope 2 - Purchased Electricity:</w:t>
      </w:r>
    </w:p>
    <w:p>
      <w:pPr>
        <w:numPr>
          <w:ilvl w:val="1"/>
          <w:numId w:val="1009"/>
        </w:numPr>
        <w:pStyle w:val="Compact"/>
      </w:pPr>
      <w:r>
        <w:t xml:space="preserve">Energy Intensity: 10 kWh/unit (yutmrywloq)</w:t>
      </w:r>
    </w:p>
    <w:p>
      <w:pPr>
        <w:numPr>
          <w:ilvl w:val="1"/>
          <w:numId w:val="1009"/>
        </w:numPr>
        <w:pStyle w:val="Compact"/>
      </w:pPr>
      <w:r>
        <w:t xml:space="preserve">Renewable Energy Used: 50% (xnulmprsxq)</w:t>
      </w:r>
    </w:p>
    <w:p>
      <w:pPr>
        <w:numPr>
          <w:ilvl w:val="1"/>
          <w:numId w:val="1009"/>
        </w:numPr>
        <w:pStyle w:val="Compact"/>
      </w:pPr>
      <w:r>
        <w:t xml:space="preserve">Non-Renewable Energy: 10 kWh/unit * (1 - 0.50) = 5 kWh/unit</w:t>
      </w:r>
    </w:p>
    <w:p>
      <w:pPr>
        <w:numPr>
          <w:ilvl w:val="1"/>
          <w:numId w:val="1009"/>
        </w:numPr>
        <w:pStyle w:val="Compact"/>
      </w:pPr>
      <w:r>
        <w:t xml:space="preserve">Emissions: 5 kWh/unit * 0.6 kg CO2e/kWh (China Grid) =</w:t>
      </w:r>
      <w:r>
        <w:t xml:space="preserve"> </w:t>
      </w:r>
      <w:r>
        <w:rPr>
          <w:bCs/>
          <w:b/>
        </w:rPr>
        <w:t xml:space="preserve">3.00 kg CO2e</w:t>
      </w:r>
    </w:p>
    <w:p>
      <w:pPr>
        <w:numPr>
          <w:ilvl w:val="0"/>
          <w:numId w:val="1008"/>
        </w:numPr>
        <w:pStyle w:val="Compact"/>
      </w:pPr>
      <w:r>
        <w:rPr>
          <w:bCs/>
          <w:b/>
        </w:rPr>
        <w:t xml:space="preserve">Scope 1 - Direct Emissions:</w:t>
      </w:r>
      <w:r>
        <w:t xml:space="preserve"> </w:t>
      </w:r>
      <w:r>
        <w:t xml:space="preserve">Assuming direct fuel consumption for manufacturing operations is negligible or included in Scope 2 for simplicity, without specific data provided. If there were direct fuel combustion for e.g., on-site boilers, these would be quantified here. For this analysis, we assume</w:t>
      </w:r>
      <w:r>
        <w:t xml:space="preserve"> </w:t>
      </w:r>
      <w:r>
        <w:rPr>
          <w:bCs/>
          <w:b/>
        </w:rPr>
        <w:t xml:space="preserve">0.00 kg CO2e</w:t>
      </w:r>
      <w:r>
        <w:t xml:space="preserve"> </w:t>
      </w:r>
      <w:r>
        <w:t xml:space="preserve">for direct operational emissions.</w:t>
      </w:r>
    </w:p>
    <w:bookmarkEnd w:id="33"/>
    <w:bookmarkStart w:id="34" w:name="X1e49a28662606c2cf1e2165cae8390dce523432"/>
    <w:p>
      <w:pPr>
        <w:pStyle w:val="Heading3"/>
      </w:pPr>
      <w:r>
        <w:t xml:space="preserve">3.3. Upstream and Downstream Transportation (Scope 3, Categories 4 &amp; 9)</w:t>
      </w:r>
    </w:p>
    <w:p>
      <w:pPr>
        <w:pStyle w:val="FirstParagraph"/>
      </w:pPr>
      <w:r>
        <w:t xml:space="preserve">These emissions cover the transport of raw materials and finished products.</w:t>
      </w:r>
    </w:p>
    <w:p>
      <w:pPr>
        <w:numPr>
          <w:ilvl w:val="0"/>
          <w:numId w:val="1010"/>
        </w:numPr>
        <w:pStyle w:val="Compact"/>
      </w:pPr>
      <w:r>
        <w:rPr>
          <w:bCs/>
          <w:b/>
        </w:rPr>
        <w:t xml:space="preserve">Upstream Transportation (Materials to Factory - Scope 3, Category 4):</w:t>
      </w:r>
      <w:r>
        <w:t xml:space="preserve"> </w:t>
      </w:r>
      <w:r>
        <w:t xml:space="preserve">Assumed to be embedded within the BOM\'s \'Total Carbon\' for simplicity or considered negligible if primary data is unavailable. For this analysis, we will focus on downstream product transport as a distinct calculation.</w:t>
      </w:r>
    </w:p>
    <w:p>
      <w:pPr>
        <w:numPr>
          <w:ilvl w:val="0"/>
          <w:numId w:val="1010"/>
        </w:numPr>
        <w:pStyle w:val="Compact"/>
      </w:pPr>
      <w:r>
        <w:rPr>
          <w:bCs/>
          <w:b/>
        </w:rPr>
        <w:t xml:space="preserve">Downstream Transportation (Finished Product from China to Europe &amp; Last-Mile - Scope 3, Category 9):</w:t>
      </w:r>
    </w:p>
    <w:p>
      <w:pPr>
        <w:numPr>
          <w:ilvl w:val="1"/>
          <w:numId w:val="1011"/>
        </w:numPr>
        <w:pStyle w:val="Compact"/>
      </w:pPr>
      <w:r>
        <w:t xml:space="preserve">Product Weight: 0.95 kg = 0.00095 tonnes</w:t>
      </w:r>
    </w:p>
    <w:p>
      <w:pPr>
        <w:numPr>
          <w:ilvl w:val="1"/>
          <w:numId w:val="1011"/>
        </w:numPr>
        <w:pStyle w:val="Compact"/>
      </w:pPr>
      <w:r>
        <w:rPr>
          <w:bCs/>
          <w:b/>
        </w:rPr>
        <w:t xml:space="preserve">Ocean Freight:</w:t>
      </w:r>
    </w:p>
    <w:p>
      <w:pPr>
        <w:numPr>
          <w:ilvl w:val="2"/>
          <w:numId w:val="1012"/>
        </w:numPr>
        <w:pStyle w:val="Compact"/>
      </w:pPr>
      <w:r>
        <w:t xml:space="preserve">Distance: 15000 km</w:t>
      </w:r>
    </w:p>
    <w:p>
      <w:pPr>
        <w:numPr>
          <w:ilvl w:val="2"/>
          <w:numId w:val="1012"/>
        </w:numPr>
        <w:pStyle w:val="Compact"/>
      </w:pPr>
      <w:r>
        <w:t xml:space="preserve">Emissions: 0.00095 tonnes * 15000 km * 0.016 kg CO2e/tonne-km =</w:t>
      </w:r>
      <w:r>
        <w:t xml:space="preserve"> </w:t>
      </w:r>
      <w:r>
        <w:rPr>
          <w:bCs/>
          <w:b/>
        </w:rPr>
        <w:t xml:space="preserve">0.228 kg CO2e</w:t>
      </w:r>
    </w:p>
    <w:p>
      <w:pPr>
        <w:numPr>
          <w:ilvl w:val="1"/>
          <w:numId w:val="1011"/>
        </w:numPr>
        <w:pStyle w:val="Compact"/>
      </w:pPr>
      <w:r>
        <w:rPr>
          <w:bCs/>
          <w:b/>
        </w:rPr>
        <w:t xml:space="preserve">Road Freight (HGV):</w:t>
      </w:r>
    </w:p>
    <w:p>
      <w:pPr>
        <w:numPr>
          <w:ilvl w:val="2"/>
          <w:numId w:val="1013"/>
        </w:numPr>
        <w:pStyle w:val="Compact"/>
      </w:pPr>
      <w:r>
        <w:t xml:space="preserve">Distance: 1000 km</w:t>
      </w:r>
    </w:p>
    <w:p>
      <w:pPr>
        <w:numPr>
          <w:ilvl w:val="2"/>
          <w:numId w:val="1013"/>
        </w:numPr>
        <w:pStyle w:val="Compact"/>
      </w:pPr>
      <w:r>
        <w:t xml:space="preserve">Emissions: 0.00095 tonnes * 1000 km * 0.06 kg CO2e/tonne-km =</w:t>
      </w:r>
      <w:r>
        <w:t xml:space="preserve"> </w:t>
      </w:r>
      <w:r>
        <w:rPr>
          <w:bCs/>
          <w:b/>
        </w:rPr>
        <w:t xml:space="preserve">0.057 kg CO2e</w:t>
      </w:r>
    </w:p>
    <w:p>
      <w:pPr>
        <w:numPr>
          <w:ilvl w:val="1"/>
          <w:numId w:val="1011"/>
        </w:numPr>
        <w:pStyle w:val="Compact"/>
      </w:pPr>
      <w:r>
        <w:rPr>
          <w:bCs/>
          <w:b/>
        </w:rPr>
        <w:t xml:space="preserve">Last-Mile Delivery (LCV):</w:t>
      </w:r>
    </w:p>
    <w:p>
      <w:pPr>
        <w:numPr>
          <w:ilvl w:val="2"/>
          <w:numId w:val="1014"/>
        </w:numPr>
        <w:pStyle w:val="Compact"/>
      </w:pPr>
      <w:r>
        <w:t xml:space="preserve">Distance: 50 km</w:t>
      </w:r>
    </w:p>
    <w:p>
      <w:pPr>
        <w:numPr>
          <w:ilvl w:val="2"/>
          <w:numId w:val="1014"/>
        </w:numPr>
        <w:pStyle w:val="Compact"/>
      </w:pPr>
      <w:r>
        <w:t xml:space="preserve">Emissions: 0.00095 tonnes * 50 km * 0.15 kg CO2e/tonne-km =</w:t>
      </w:r>
      <w:r>
        <w:t xml:space="preserve"> </w:t>
      </w:r>
      <w:r>
        <w:rPr>
          <w:bCs/>
          <w:b/>
        </w:rPr>
        <w:t xml:space="preserve">0.007 kg CO2e</w:t>
      </w:r>
      <w:r>
        <w:t xml:space="preserve"> </w:t>
      </w:r>
      <w:r>
        <w:t xml:space="preserve">(estimated)</w:t>
      </w:r>
    </w:p>
    <w:p>
      <w:pPr>
        <w:numPr>
          <w:ilvl w:val="1"/>
          <w:numId w:val="1011"/>
        </w:numPr>
        <w:pStyle w:val="Compact"/>
      </w:pPr>
      <w:r>
        <w:rPr>
          <w:bCs/>
          <w:b/>
        </w:rPr>
        <w:t xml:space="preserve">Total Transport Emissions:</w:t>
      </w:r>
      <w:r>
        <w:t xml:space="preserve"> </w:t>
      </w:r>
      <w:r>
        <w:t xml:space="preserve">0.228 + 0.057 + 0.007 =</w:t>
      </w:r>
      <w:r>
        <w:t xml:space="preserve"> </w:t>
      </w:r>
      <w:r>
        <w:rPr>
          <w:bCs/>
          <w:b/>
        </w:rPr>
        <w:t xml:space="preserve">0.292 kg CO2e</w:t>
      </w:r>
    </w:p>
    <w:bookmarkEnd w:id="34"/>
    <w:bookmarkStart w:id="35" w:name="Xe72837a908ad344b018b3447ff671a3dec19470"/>
    <w:p>
      <w:pPr>
        <w:pStyle w:val="Heading3"/>
      </w:pPr>
      <w:r>
        <w:t xml:space="preserve">3.4. Use Phase (Scope 3, Category 11 - Use of Sold Products)</w:t>
      </w:r>
    </w:p>
    <w:p>
      <w:pPr>
        <w:pStyle w:val="FirstParagraph"/>
      </w:pPr>
      <w:r>
        <w:t xml:space="preserve">Emissions from the energy consumption during the product\'s operational life.</w:t>
      </w:r>
    </w:p>
    <w:p>
      <w:pPr>
        <w:numPr>
          <w:ilvl w:val="0"/>
          <w:numId w:val="1015"/>
        </w:numPr>
        <w:pStyle w:val="Compact"/>
      </w:pPr>
      <w:r>
        <w:rPr>
          <w:bCs/>
          <w:b/>
        </w:rPr>
        <w:t xml:space="preserve">Product Lifespan:</w:t>
      </w:r>
      <w:r>
        <w:t xml:space="preserve"> </w:t>
      </w:r>
      <w:r>
        <w:t xml:space="preserve">5 years (itejdfysep)</w:t>
      </w:r>
    </w:p>
    <w:p>
      <w:pPr>
        <w:numPr>
          <w:ilvl w:val="0"/>
          <w:numId w:val="1015"/>
        </w:numPr>
        <w:pStyle w:val="Compact"/>
      </w:pPr>
      <w:r>
        <w:rPr>
          <w:bCs/>
          <w:b/>
        </w:rPr>
        <w:t xml:space="preserve">Energy Consumption:</w:t>
      </w:r>
      <w:r>
        <w:t xml:space="preserve"> </w:t>
      </w:r>
      <w:r>
        <w:t xml:space="preserve">20 kWh/year (uhziwkowgd)</w:t>
      </w:r>
    </w:p>
    <w:p>
      <w:pPr>
        <w:numPr>
          <w:ilvl w:val="0"/>
          <w:numId w:val="1015"/>
        </w:numPr>
        <w:pStyle w:val="Compact"/>
      </w:pPr>
      <w:r>
        <w:rPr>
          <w:bCs/>
          <w:b/>
        </w:rPr>
        <w:t xml:space="preserve">Total Energy Consumption:</w:t>
      </w:r>
      <w:r>
        <w:t xml:space="preserve"> </w:t>
      </w:r>
      <w:r>
        <w:t xml:space="preserve">5 years * 20 kWh/year = 100 kWh</w:t>
      </w:r>
    </w:p>
    <w:p>
      <w:pPr>
        <w:numPr>
          <w:ilvl w:val="0"/>
          <w:numId w:val="1015"/>
        </w:numPr>
        <w:pStyle w:val="Compact"/>
      </w:pPr>
      <w:r>
        <w:rPr>
          <w:bCs/>
          <w:b/>
        </w:rPr>
        <w:t xml:space="preserve">Emissions:</w:t>
      </w:r>
      <w:r>
        <w:t xml:space="preserve"> </w:t>
      </w:r>
      <w:r>
        <w:t xml:space="preserve">100 kWh * 0.25 kg CO2e/kWh (Europe Grid) =</w:t>
      </w:r>
      <w:r>
        <w:t xml:space="preserve"> </w:t>
      </w:r>
      <w:r>
        <w:rPr>
          <w:bCs/>
          <w:b/>
        </w:rPr>
        <w:t xml:space="preserve">25.00 kg CO2e</w:t>
      </w:r>
    </w:p>
    <w:bookmarkEnd w:id="35"/>
    <w:bookmarkStart w:id="36" w:name="Xe0da3ae5c42600f436bdf9037896cf99fcaf8b4"/>
    <w:p>
      <w:pPr>
        <w:pStyle w:val="Heading3"/>
      </w:pPr>
      <w:r>
        <w:t xml:space="preserve">3.5. End-of-Life (EoL) Treatment (Scope 3, Category 12 - End-of-Life Treatment of Sold Products)</w:t>
      </w:r>
    </w:p>
    <w:p>
      <w:pPr>
        <w:pStyle w:val="FirstParagraph"/>
      </w:pPr>
      <w:r>
        <w:t xml:space="preserve">Emissions and avoided emissions from disposal and recycling.</w:t>
      </w:r>
    </w:p>
    <w:p>
      <w:pPr>
        <w:numPr>
          <w:ilvl w:val="0"/>
          <w:numId w:val="1016"/>
        </w:numPr>
        <w:pStyle w:val="Compact"/>
      </w:pPr>
      <w:r>
        <w:rPr>
          <w:bCs/>
          <w:b/>
        </w:rPr>
        <w:t xml:space="preserve">Recyclability Percentage:</w:t>
      </w:r>
      <w:r>
        <w:t xml:space="preserve"> </w:t>
      </w:r>
      <w:r>
        <w:t xml:space="preserve">70% (uwdrmxqdzx)</w:t>
      </w:r>
    </w:p>
    <w:p>
      <w:pPr>
        <w:numPr>
          <w:ilvl w:val="0"/>
          <w:numId w:val="1016"/>
        </w:numPr>
        <w:pStyle w:val="Compact"/>
      </w:pPr>
      <w:r>
        <w:rPr>
          <w:bCs/>
          <w:b/>
        </w:rPr>
        <w:t xml:space="preserve">Non-Recycled Waste:</w:t>
      </w:r>
      <w:r>
        <w:t xml:space="preserve"> </w:t>
      </w:r>
      <w:r>
        <w:t xml:space="preserve">100% - 70% = 30%</w:t>
      </w:r>
    </w:p>
    <w:p>
      <w:pPr>
        <w:numPr>
          <w:ilvl w:val="0"/>
          <w:numId w:val="1016"/>
        </w:numPr>
        <w:pStyle w:val="Compact"/>
      </w:pPr>
      <w:r>
        <w:rPr>
          <w:bCs/>
          <w:b/>
        </w:rPr>
        <w:t xml:space="preserve">Product Weight:</w:t>
      </w:r>
      <w:r>
        <w:t xml:space="preserve"> </w:t>
      </w:r>
      <w:r>
        <w:t xml:space="preserve">0.95 kg</w:t>
      </w:r>
    </w:p>
    <w:p>
      <w:pPr>
        <w:numPr>
          <w:ilvl w:val="0"/>
          <w:numId w:val="1016"/>
        </w:numPr>
        <w:pStyle w:val="Compact"/>
      </w:pPr>
      <w:r>
        <w:rPr>
          <w:bCs/>
          <w:b/>
        </w:rPr>
        <w:t xml:space="preserve">Recycled Weight:</w:t>
      </w:r>
      <w:r>
        <w:t xml:space="preserve"> </w:t>
      </w:r>
      <w:r>
        <w:t xml:space="preserve">0.95 kg * 0.70 = 0.665 kg</w:t>
      </w:r>
    </w:p>
    <w:p>
      <w:pPr>
        <w:numPr>
          <w:ilvl w:val="0"/>
          <w:numId w:val="1016"/>
        </w:numPr>
        <w:pStyle w:val="Compact"/>
      </w:pPr>
      <w:r>
        <w:rPr>
          <w:bCs/>
          <w:b/>
        </w:rPr>
        <w:t xml:space="preserve">Waste to Landfill Weight:</w:t>
      </w:r>
      <w:r>
        <w:t xml:space="preserve"> </w:t>
      </w:r>
      <w:r>
        <w:t xml:space="preserve">0.95 kg * 0.30 = 0.285 kg</w:t>
      </w:r>
    </w:p>
    <w:p>
      <w:pPr>
        <w:numPr>
          <w:ilvl w:val="0"/>
          <w:numId w:val="1016"/>
        </w:numPr>
        <w:pStyle w:val="Compact"/>
      </w:pPr>
      <w:r>
        <w:rPr>
          <w:bCs/>
          <w:b/>
        </w:rPr>
        <w:t xml:space="preserve">Avoided Emissions from Recycling:</w:t>
      </w:r>
    </w:p>
    <w:p>
      <w:pPr>
        <w:numPr>
          <w:ilvl w:val="1"/>
          <w:numId w:val="1017"/>
        </w:numPr>
        <w:pStyle w:val="Compact"/>
      </w:pPr>
      <w:r>
        <w:t xml:space="preserve">Aluminium (from BOM): 0.5 kg * 0.70 (recyclability) * -5.0 kg CO2e/kg = -1.75 kg CO2e</w:t>
      </w:r>
    </w:p>
    <w:p>
      <w:pPr>
        <w:numPr>
          <w:ilvl w:val="1"/>
          <w:numId w:val="1017"/>
        </w:numPr>
        <w:pStyle w:val="Compact"/>
      </w:pPr>
      <w:r>
        <w:t xml:space="preserve">Plastic (from BOM): 0.3 kg * 0.70 (recyclability) * -1.5 kg CO2e/kg = -0.315 kg CO2e</w:t>
      </w:r>
    </w:p>
    <w:p>
      <w:pPr>
        <w:numPr>
          <w:ilvl w:val="1"/>
          <w:numId w:val="1017"/>
        </w:numPr>
        <w:pStyle w:val="Compact"/>
      </w:pPr>
      <w:r>
        <w:t xml:space="preserve">Copper (from BOM): 0.05 kg * 0.70 (recyclability) * -3.0 kg CO2e/kg = -0.105 kg CO2e</w:t>
      </w:r>
    </w:p>
    <w:p>
      <w:pPr>
        <w:numPr>
          <w:ilvl w:val="1"/>
          <w:numId w:val="1017"/>
        </w:numPr>
        <w:pStyle w:val="Compact"/>
      </w:pPr>
      <w:r>
        <w:t xml:space="preserve">(Circuit board assumed mixed materials, not explicitly recycled here, or allocated to other categories implicitly)</w:t>
      </w:r>
    </w:p>
    <w:p>
      <w:pPr>
        <w:numPr>
          <w:ilvl w:val="1"/>
          <w:numId w:val="1017"/>
        </w:numPr>
        <w:pStyle w:val="Compact"/>
      </w:pPr>
      <w:r>
        <w:rPr>
          <w:bCs/>
          <w:b/>
        </w:rPr>
        <w:t xml:space="preserve">Total Avoided Emissions from Recycling:</w:t>
      </w:r>
      <w:r>
        <w:t xml:space="preserve"> </w:t>
      </w:r>
      <w:r>
        <w:t xml:space="preserve">-1.75 - 0.315 - 0.105 =</w:t>
      </w:r>
      <w:r>
        <w:t xml:space="preserve"> </w:t>
      </w:r>
      <w:r>
        <w:rPr>
          <w:bCs/>
          <w:b/>
        </w:rPr>
        <w:t xml:space="preserve">-2.17 kg CO2e</w:t>
      </w:r>
    </w:p>
    <w:p>
      <w:pPr>
        <w:numPr>
          <w:ilvl w:val="0"/>
          <w:numId w:val="1016"/>
        </w:numPr>
        <w:pStyle w:val="Compact"/>
      </w:pPr>
      <w:r>
        <w:rPr>
          <w:bCs/>
          <w:b/>
        </w:rPr>
        <w:t xml:space="preserve">Emissions from Landfill:</w:t>
      </w:r>
    </w:p>
    <w:p>
      <w:pPr>
        <w:numPr>
          <w:ilvl w:val="1"/>
          <w:numId w:val="1018"/>
        </w:numPr>
        <w:pStyle w:val="Compact"/>
      </w:pPr>
      <w:r>
        <w:t xml:space="preserve">Emissions: 0.285 kg * 0.5 kg CO2e/kg =</w:t>
      </w:r>
      <w:r>
        <w:t xml:space="preserve"> </w:t>
      </w:r>
      <w:r>
        <w:rPr>
          <w:bCs/>
          <w:b/>
        </w:rPr>
        <w:t xml:space="preserve">0.1425 kg CO2e</w:t>
      </w:r>
    </w:p>
    <w:p>
      <w:pPr>
        <w:numPr>
          <w:ilvl w:val="0"/>
          <w:numId w:val="1016"/>
        </w:numPr>
        <w:pStyle w:val="Compact"/>
      </w:pPr>
      <w:r>
        <w:rPr>
          <w:bCs/>
          <w:b/>
        </w:rPr>
        <w:t xml:space="preserve">Net End-of-Life Emissions:</w:t>
      </w:r>
      <w:r>
        <w:t xml:space="preserve"> </w:t>
      </w:r>
      <w:r>
        <w:t xml:space="preserve">0.1425 - 2.17 =</w:t>
      </w:r>
      <w:r>
        <w:t xml:space="preserve"> </w:t>
      </w:r>
      <w:r>
        <w:rPr>
          <w:bCs/>
          <w:b/>
        </w:rPr>
        <w:t xml:space="preserve">-2.0275 kg CO2e</w:t>
      </w:r>
    </w:p>
    <w:p>
      <w:r>
        <w:pict>
          <v:rect style="width:0;height:1.5pt" o:hralign="center" o:hrstd="t" o:hr="t"/>
        </w:pict>
      </w:r>
    </w:p>
    <w:bookmarkEnd w:id="36"/>
    <w:bookmarkEnd w:id="37"/>
    <w:bookmarkStart w:id="41" w:name="review-report"/>
    <w:p>
      <w:pPr>
        <w:pStyle w:val="Heading2"/>
      </w:pPr>
      <w:r>
        <w:t xml:space="preserve">4. Review &amp; Report</w:t>
      </w:r>
    </w:p>
    <w:bookmarkStart w:id="38" w:name="Xd1f0d2c0a791d011cb65311b7e9ece28b8c6ae5"/>
    <w:p>
      <w:pPr>
        <w:pStyle w:val="Heading3"/>
      </w:pPr>
      <w:r>
        <w:t xml:space="preserve">4.1. Summary of Product Carbon Footprint for slkmpqtuzh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Production (BOM)</w:t>
            </w:r>
          </w:p>
        </w:tc>
        <w:tc>
          <w:tcPr/>
          <w:p>
            <w:pPr>
              <w:pStyle w:val="Compact"/>
              <w:jc w:val="left"/>
            </w:pPr>
            <w:r>
              <w:t xml:space="preserve">Scope 3, Category 1</w:t>
            </w:r>
          </w:p>
        </w:tc>
        <w:tc>
          <w:tcPr/>
          <w:p>
            <w:pPr>
              <w:pStyle w:val="Compact"/>
              <w:jc w:val="left"/>
            </w:pPr>
            <w:r>
              <w:t xml:space="preserve">6.425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3.000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0.292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-2.0275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32.69 kg CO2e</w:t>
            </w:r>
          </w:p>
        </w:tc>
      </w:tr>
    </w:tbl>
    <w:bookmarkEnd w:id="38"/>
    <w:bookmarkStart w:id="39" w:name="hotspots-and-reliability"/>
    <w:p>
      <w:pPr>
        <w:pStyle w:val="Heading3"/>
      </w:pPr>
      <w:r>
        <w:t xml:space="preserve">4.2. Hotspots and Reliability</w:t>
      </w:r>
    </w:p>
    <w:p>
      <w:pPr>
        <w:pStyle w:val="FirstParagraph"/>
      </w:pPr>
      <w:r>
        <w:t xml:space="preserve">The primary emission hotspot for \'slkmpqtuzh\' is clearly identified in the **Use Phase**, contributing 25.00 kg CO2e (approx. 76% of the total PCF). This is followed by **Raw Material Acquisition &amp; Production** (6.425 kg CO2e, approx. 20%) and **Manufacturing Energy** (3.00 kg CO2e, approx. 9%). Downstream transportation accounts for a smaller but notable portion (0.292 kg CO2e, &lt;1%). The net negative emissions from the End-of-Life phase indicate a significant benefit from the product\'s recyclability and circular programs.</w:t>
      </w:r>
    </w:p>
    <w:p>
      <w:pPr>
        <w:pStyle w:val="BodyText"/>
      </w:pPr>
      <w:r>
        <w:t xml:space="preserve">The reliability of this assessment is considered high for the following reasons:</w:t>
      </w:r>
    </w:p>
    <w:p>
      <w:pPr>
        <w:numPr>
          <w:ilvl w:val="0"/>
          <w:numId w:val="1019"/>
        </w:numPr>
        <w:pStyle w:val="Compact"/>
      </w:pPr>
      <w:r>
        <w:rPr>
          <w:bCs/>
          <w:b/>
        </w:rPr>
        <w:t xml:space="preserve">Primary Data Usage:</w:t>
      </w:r>
      <w:r>
        <w:t xml:space="preserve"> </w:t>
      </w:r>
      <w:r>
        <w:t xml:space="preserve">The analysis leverages detailed primary data from the Bill of Materials (BOM), specific energy usage, product lifespan, and recyclability.</w:t>
      </w:r>
    </w:p>
    <w:p>
      <w:pPr>
        <w:numPr>
          <w:ilvl w:val="0"/>
          <w:numId w:val="1019"/>
        </w:numPr>
        <w:pStyle w:val="Compact"/>
      </w:pPr>
      <w:r>
        <w:rPr>
          <w:bCs/>
          <w:b/>
        </w:rPr>
        <w:t xml:space="preserve">Industry-Standard Emission Factors:</w:t>
      </w:r>
      <w:r>
        <w:t xml:space="preserve"> </w:t>
      </w:r>
      <w:r>
        <w:t xml:space="preserve">Secondary data for emission factors for electricity, transport, and waste treatment are derived from reputable sources such as DEFRA, Ecoinvent-type databases, and specific country grid mixes, ensuring consistency and comparability.</w:t>
      </w:r>
    </w:p>
    <w:p>
      <w:pPr>
        <w:numPr>
          <w:ilvl w:val="0"/>
          <w:numId w:val="1019"/>
        </w:numPr>
        <w:pStyle w:val="Compact"/>
      </w:pPr>
      <w:r>
        <w:rPr>
          <w:bCs/>
          <w:b/>
        </w:rPr>
        <w:t xml:space="preserve">GHG Protocol Adherence:</w:t>
      </w:r>
      <w:r>
        <w:t xml:space="preserve"> </w:t>
      </w:r>
      <w:r>
        <w:t xml:space="preserve">Strict adherence to the GHG Protocol ensures a robust and transparent accounting framework, preparing for 2026 reporting requirements, including the 95% Scope 3 coverage.</w:t>
      </w:r>
    </w:p>
    <w:bookmarkEnd w:id="39"/>
    <w:bookmarkStart w:id="40" w:name="recommendations-for-decarbonization"/>
    <w:p>
      <w:pPr>
        <w:pStyle w:val="Heading3"/>
      </w:pPr>
      <w:r>
        <w:t xml:space="preserve">4.3. Recommendations for Decarbonization</w:t>
      </w:r>
    </w:p>
    <w:p>
      <w:pPr>
        <w:numPr>
          <w:ilvl w:val="0"/>
          <w:numId w:val="1020"/>
        </w:numPr>
        <w:pStyle w:val="Compact"/>
      </w:pPr>
      <w:r>
        <w:rPr>
          <w:bCs/>
          <w:b/>
        </w:rPr>
        <w:t xml:space="preserve">Focus on Use Phase Efficiency:</w:t>
      </w:r>
      <w:r>
        <w:t xml:space="preserve"> </w:t>
      </w:r>
      <w:r>
        <w:t xml:space="preserve">Given that the use phase is the largest hotspot, zntppdvmqn should prioritize strategies to reduce the product\'s energy consumption during its lifespan. This could include developing more energy-efficient designs, optimizing software/firmware for lower power modes, or exploring alternative power sources for users.</w:t>
      </w:r>
    </w:p>
    <w:p>
      <w:pPr>
        <w:numPr>
          <w:ilvl w:val="0"/>
          <w:numId w:val="1020"/>
        </w:numPr>
        <w:pStyle w:val="Compact"/>
      </w:pPr>
      <w:r>
        <w:rPr>
          <w:bCs/>
          <w:b/>
        </w:rPr>
        <w:t xml:space="preserve">Enhance Renewable Energy in Manufacturing:</w:t>
      </w:r>
      <w:r>
        <w:t xml:space="preserve"> </w:t>
      </w:r>
      <w:r>
        <w:t xml:space="preserve">While 50% renewable energy usage is commendable, increasing this percentage at the China production facility would further reduce Scope 2 emissions. Investing in on-site renewables or purchasing high-quality renewable energy credits should be explored.</w:t>
      </w:r>
    </w:p>
    <w:p>
      <w:pPr>
        <w:numPr>
          <w:ilvl w:val="0"/>
          <w:numId w:val="1020"/>
        </w:numPr>
        <w:pStyle w:val="Compact"/>
      </w:pPr>
      <w:r>
        <w:rPr>
          <w:bCs/>
          <w:b/>
        </w:rPr>
        <w:t xml:space="preserve">Optimize Material Selection &amp; Circularity:</w:t>
      </w:r>
      <w:r>
        <w:t xml:space="preserve"> </w:t>
      </w:r>
      <w:r>
        <w:t xml:space="preserve">Continue to investigate lower-carbon alternatives for materials, particularly for components with high embedded emissions (e.g., Aluminium, Circuit Board). Further strengthen circular economy initiatives, such as expanding take-back programs and exploring design-for-disassembly to maximize recycling rates and minimize waste, building on the already positive impact of current EoL strategies.</w:t>
      </w:r>
    </w:p>
    <w:p>
      <w:pPr>
        <w:numPr>
          <w:ilvl w:val="0"/>
          <w:numId w:val="1020"/>
        </w:numPr>
        <w:pStyle w:val="Compact"/>
      </w:pPr>
      <w:r>
        <w:rPr>
          <w:bCs/>
          <w:b/>
        </w:rPr>
        <w:t xml:space="preserve">Supply Chain Engagement:</w:t>
      </w:r>
      <w:r>
        <w:t xml:space="preserve"> </w:t>
      </w:r>
      <w:r>
        <w:t xml:space="preserve">Engage with upstream suppliers (Scope 3, Category 1) to understand and reduce their embedded emissions, especially for high-impact components.</w:t>
      </w:r>
    </w:p>
    <w:p>
      <w:pPr>
        <w:numPr>
          <w:ilvl w:val="0"/>
          <w:numId w:val="1020"/>
        </w:numPr>
        <w:pStyle w:val="Compact"/>
      </w:pPr>
      <w:r>
        <w:rPr>
          <w:bCs/>
          <w:b/>
        </w:rPr>
        <w:t xml:space="preserve">Transport Optimization:</w:t>
      </w:r>
      <w:r>
        <w:t xml:space="preserve"> </w:t>
      </w:r>
      <w:r>
        <w:t xml:space="preserve">While transport is a smaller contributor, continued optimization of logistics routes, choosing lower-emission transport modes where feasible (e.g., rail over road for mid-haul within Europe), and optimizing load factors can yield additional reductions.</w:t>
      </w:r>
    </w:p>
    <w:p>
      <w:r>
        <w:pict>
          <v:rect style="width:0;height:1.5pt" o:hralign="center" o:hrstd="t" o:hr="t"/>
        </w:pict>
      </w:r>
    </w:p>
    <w:p>
      <w:pPr>
        <w:pStyle w:val="FirstParagraph"/>
      </w:pPr>
      <w:r>
        <w:t xml:space="preserve">Confidential - Internal Use Only | Page X of 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slkmpqtuzh</dc:title>
  <dc:creator/>
  <dc:description>High-detail Product Carbon Footprint (PCF) analysis for slkmpqtuzh, adhering to GHG Protocol standards and 2026 updates, performed by rhkotqtzle for zntppdvmqn.</dc:description>
  <dc:language>en</dc:language>
  <cp:keywords/>
  <dcterms:created xsi:type="dcterms:W3CDTF">2026-05-30T10:35:46Z</dcterms:created>
  <dcterms:modified xsi:type="dcterms:W3CDTF">2026-05-30T10:35:46Z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