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skqhimnwij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skqhimnwij</w:t>
      </w:r>
    </w:p>
    <w:p>
      <w:pPr>
        <w:pStyle w:val="BodyText"/>
      </w:pPr>
      <w:r>
        <w:rPr>
          <w:bCs/>
          <w:b/>
        </w:rPr>
        <w:t xml:space="preserve">Company Name:</w:t>
      </w:r>
      <w:r>
        <w:t xml:space="preserve"> </w:t>
      </w:r>
      <w:r>
        <w:t xml:space="preserve">sfinzupeno</w:t>
      </w:r>
    </w:p>
    <w:p>
      <w:pPr>
        <w:pStyle w:val="BodyText"/>
      </w:pPr>
      <w:r>
        <w:rPr>
          <w:bCs/>
          <w:b/>
        </w:rPr>
        <w:t xml:space="preserve">Senior Sustainability Consultant:</w:t>
      </w:r>
      <w:r>
        <w:t xml:space="preserve"> </w:t>
      </w:r>
      <w:r>
        <w:t xml:space="preserve">ylpjrpldwk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environmental impact.</w:t>
      </w:r>
    </w:p>
    <w:bookmarkEnd w:id="20"/>
    <w:bookmarkStart w:id="43" w:name="Xe60943b0872c35230e564996e8c74dd253a96d2"/>
    <w:p>
      <w:pPr>
        <w:pStyle w:val="Heading1"/>
      </w:pPr>
      <w:r>
        <w:t xml:space="preserve">Product Carbon Footprint Analysis Report for skqhimnwij</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\'skqhimnwij\', conducted by Senior Sustainability Consultant ylpjrpldwk for sfinzupeno. The analysis adheres strictly to the GHG Protocol Product Standard, incorporating the latest 2026 Land Sector and Removals (LSR) Update and aiming for at least 95% Scope 3 coverage. By quantifying greenhouse gas (GHG) emissions across the product\'s lifecycle from raw material acquisition through end-of-life, this report identifies key emission hotspots and provides actionable insights for enhancing the product\'s environmental performance and supporting sfinzupeno\'s broader sustainability objectives. A Product Carbon Footprint quantifies all greenhouse gas emissions generated throughout a product\'s life cycle from raw material production, through manufacturing and use, to end-of-life disposal.</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of this PCF analysis involves a clear definition of the study\'s scope to ensure accuracy, consistency, and relevance.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skqhimnwij</w:t>
      </w:r>
      <w:r>
        <w:t xml:space="preserve">. This serves as the reference basis to which all input and output data are normalized, allowing for comparability and clear interpretation of the product\'s environmental performance.</w:t>
      </w:r>
    </w:p>
    <w:p>
      <w:pPr>
        <w:numPr>
          <w:ilvl w:val="0"/>
          <w:numId w:val="1001"/>
        </w:numPr>
        <w:pStyle w:val="Compact"/>
      </w:pPr>
      <w:r>
        <w:rPr>
          <w:bCs/>
          <w:b/>
        </w:rPr>
        <w:t xml:space="preserve">System Boundary:</w:t>
      </w:r>
      <w:r>
        <w:t xml:space="preserve"> </w:t>
      </w:r>
      <w:r>
        <w:t xml:space="preserve">The system boundary for this PCF is defined as</w:t>
      </w:r>
      <w:r>
        <w:t xml:space="preserve"> </w:t>
      </w:r>
      <w:r>
        <w:rPr>
          <w:bCs/>
          <w:b/>
        </w:rPr>
        <w:t xml:space="preserve">"factory_gate"</w:t>
      </w:r>
      <w:r>
        <w:t xml:space="preserve">, which, for a comprehensive Product Carbon Footprint (PCF), typically implies a cradle-to-gate approach complemented by downstream use and end-of-life considerations to cover the entire product lifecycle. This approach accounts for emissions from raw material extraction, manufacturing, distribution, use, and end-of-life management.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for calculating and reporting product-level greenhouse gas emissions. The GHG Protocol provides comprehensive global standardized frameworks for measuring and managing GHG emissions.</w:t>
      </w:r>
    </w:p>
    <w:p>
      <w:pPr>
        <w:numPr>
          <w:ilvl w:val="0"/>
          <w:numId w:val="1001"/>
        </w:numPr>
        <w:pStyle w:val="Compact"/>
      </w:pPr>
      <w:r>
        <w:rPr>
          <w:bCs/>
          <w:b/>
        </w:rPr>
        <w:t xml:space="preserve">Allocation Method:</w:t>
      </w:r>
      <w:r>
        <w:t xml:space="preserve"> </w:t>
      </w:r>
      <w:r>
        <w:t xml:space="preserve">Emissions from shared processes or co-products are allocated based on mass, where applicable. In instances without co-products or by-products, direct attribution is applied. This method is consistent with GHG Protocol guidance to ensure a fair representation of the functional unit\'s impact.</w:t>
      </w:r>
    </w:p>
    <w:p>
      <w:r>
        <w:pict>
          <v:rect style="width:0;height:1.5pt" o:hralign="center" o:hrstd="t" o:hr="t"/>
        </w:pict>
      </w:r>
    </w:p>
    <w:bookmarkEnd w:id="22"/>
    <w:bookmarkStart w:id="24" w:name="map-lifecycle-lci-inventory-stages"/>
    <w:p>
      <w:pPr>
        <w:pStyle w:val="Heading2"/>
      </w:pPr>
      <w:r>
        <w:t xml:space="preserve">2. Map Lifecycle (LCI Inventory Stages)</w:t>
      </w:r>
    </w:p>
    <w:p>
      <w:pPr>
        <w:pStyle w:val="FirstParagraph"/>
      </w:pPr>
      <w:r>
        <w:t xml:space="preserve">The lifecycle of \'skqhimnwij\' is mapped into distinct stages, encompassing all activities from raw material extraction to end-of-life. This systematic mapping is crucial for identifying all potential emission sources. The stages considered in this analysis are:</w:t>
      </w:r>
    </w:p>
    <w:p>
      <w:pPr>
        <w:numPr>
          <w:ilvl w:val="0"/>
          <w:numId w:val="1003"/>
        </w:numPr>
        <w:pStyle w:val="Compact"/>
      </w:pPr>
      <w:r>
        <w:rPr>
          <w:bCs/>
          <w:b/>
        </w:rPr>
        <w:t xml:space="preserve">Materials Acquisition &amp; Pre-processing:</w:t>
      </w:r>
      <w:r>
        <w:t xml:space="preserve"> </w:t>
      </w:r>
      <w:r>
        <w:t xml:space="preserve">This stage includes the extraction, cultivation, and initial processing of all raw materials used in \'skqhimnwij\'. It accounts for emissions associated with resource depletion and processing.</w:t>
      </w:r>
    </w:p>
    <w:p>
      <w:pPr>
        <w:numPr>
          <w:ilvl w:val="0"/>
          <w:numId w:val="1003"/>
        </w:numPr>
        <w:pStyle w:val="Compact"/>
      </w:pPr>
      <w:r>
        <w:rPr>
          <w:bCs/>
          <w:b/>
        </w:rPr>
        <w:t xml:space="preserve">Manufacturing:</w:t>
      </w:r>
      <w:r>
        <w:t xml:space="preserve"> </w:t>
      </w:r>
      <w:r>
        <w:t xml:space="preserve">Encompasses all production processes at the sfinzupeno factory in China, including energy consumption, process emissions, and waste generation during the transformation of raw materials into the finished product.</w:t>
      </w:r>
    </w:p>
    <w:p>
      <w:pPr>
        <w:numPr>
          <w:ilvl w:val="0"/>
          <w:numId w:val="1003"/>
        </w:numPr>
        <w:pStyle w:val="Compact"/>
      </w:pPr>
      <w:r>
        <w:rPr>
          <w:bCs/>
          <w:b/>
        </w:rPr>
        <w:t xml:space="preserve">Transportation (Upstream &amp; Downstream):</w:t>
      </w:r>
      <w:r>
        <w:t xml:space="preserve"> </w:t>
      </w:r>
      <w:r>
        <w:t xml:space="preserve">Includes the transport of raw materials and components to the manufacturing facility, as well as the distribution of the finished product to the end-user (last-mile delivery).</w:t>
      </w:r>
    </w:p>
    <w:p>
      <w:pPr>
        <w:numPr>
          <w:ilvl w:val="0"/>
          <w:numId w:val="1003"/>
        </w:numPr>
        <w:pStyle w:val="Compact"/>
      </w:pPr>
      <w:r>
        <w:rPr>
          <w:bCs/>
          <w:b/>
        </w:rPr>
        <w:t xml:space="preserve">Use Phase:</w:t>
      </w:r>
      <w:r>
        <w:t xml:space="preserve"> </w:t>
      </w:r>
      <w:r>
        <w:t xml:space="preserve">Accounts for emissions generated during the operational life of \'skqhimnwij\', primarily related to energy consumption by the user.</w:t>
      </w:r>
    </w:p>
    <w:p>
      <w:pPr>
        <w:numPr>
          <w:ilvl w:val="0"/>
          <w:numId w:val="1003"/>
        </w:numPr>
        <w:pStyle w:val="Compact"/>
      </w:pPr>
      <w:r>
        <w:rPr>
          <w:bCs/>
          <w:b/>
        </w:rPr>
        <w:t xml:space="preserve">End-of-Life (EoL):</w:t>
      </w:r>
      <w:r>
        <w:t xml:space="preserve"> </w:t>
      </w:r>
      <w:r>
        <w:t xml:space="preserve">Addresses emissions associated with the disposal, recycling, or recovery of the product and its components after its useful life.</w:t>
      </w:r>
    </w:p>
    <w:bookmarkStart w:id="23" w:name="X3d3a99641f5b61cf244e1bec8ff4f7df2d28bc1"/>
    <w:p>
      <w:pPr>
        <w:pStyle w:val="Heading3"/>
      </w:pPr>
      <w:r>
        <w:t xml:space="preserve">2026 Land Sector and Removals (LSR) Update Integration:</w:t>
      </w:r>
    </w:p>
    <w:p>
      <w:pPr>
        <w:pStyle w:val="FirstParagraph"/>
      </w:pPr>
      <w:r>
        <w:t xml:space="preserve">The GHG Protocol Land Sector and Removals (LSR) Standard, released on January 30, 2026, and effective January 1, 2027, provides accounting requirements and guidance for land-related GHG emissions and CO2 removals, including technological CO2 removals. This update is particularly relevant for upstream activities involving agriculture or land use change. While the full guidance is expected in Q2 2026, this analysis acknowledges and will integrate relevant aspects of the LSR Standard for any biogenic materials or land-use related emissions within the supply chain of \'skqhimnwij\'. This includes a framework for companies to account for land emissions based on traceability and data availability.</w:t>
      </w:r>
    </w:p>
    <w:p>
      <w:r>
        <w:pict>
          <v:rect style="width:0;height:1.5pt" o:hralign="center" o:hrstd="t" o:hr="t"/>
        </w:pict>
      </w:r>
    </w:p>
    <w:bookmarkEnd w:id="23"/>
    <w:bookmarkEnd w:id="24"/>
    <w:bookmarkStart w:id="30" w:name="Xb57f50a89bf1f3f1837369be949d9d60d6c1272"/>
    <w:p>
      <w:pPr>
        <w:pStyle w:val="Heading2"/>
      </w:pPr>
      <w:r>
        <w:t xml:space="preserve">3. Collect Data (Primary/Secondary Data Points)</w:t>
      </w:r>
    </w:p>
    <w:p>
      <w:pPr>
        <w:pStyle w:val="FirstParagraph"/>
      </w:pPr>
      <w:r>
        <w:t xml:space="preserve">Accurate data collection is paramount for a robust PCF. This analysis leverages both primary data (where provided) and high-quality secondary data from industry-standard databases.</w:t>
      </w:r>
    </w:p>
    <w:bookmarkStart w:id="25" w:name="detailed-bill-of-materials-bom-data"/>
    <w:p>
      <w:pPr>
        <w:pStyle w:val="Heading3"/>
      </w:pPr>
      <w:r>
        <w:t xml:space="preserve">3.1. Detailed Bill of Materials (BOM) Data</w:t>
      </w:r>
    </w:p>
    <w:p>
      <w:pPr>
        <w:pStyle w:val="FirstParagraph"/>
      </w:pPr>
      <w:r>
        <w:t xml:space="preserve">The following table represents the detailed Bill of Materials (BOM) for \'skqhimnwij\', derived from the input</w:t>
      </w:r>
      <w:r>
        <w:t xml:space="preserve"> </w:t>
      </w:r>
      <w:r>
        <w:rPr>
          <w:bCs/>
          <w:b/>
        </w:rPr>
        <w:t xml:space="preserve">jydhjodv</w:t>
      </w:r>
      <w:r>
        <w:t xml:space="preserve">. For the purpose of this report, \'jydhjodv\' is treated as a placeholder for specific itemized data conforming to the specified format. In a real-world scenario, each component would have quantified values for accurate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(Derived)</w:t>
            </w:r>
          </w:p>
        </w:tc>
        <w:tc>
          <w:tcPr/>
          <w:p>
            <w:pPr>
              <w:pStyle w:val="Compact"/>
              <w:jc w:val="left"/>
            </w:pPr>
            <w:r>
              <w:t xml:space="preserve">jydhjodv</w:t>
            </w:r>
          </w:p>
        </w:tc>
        <w:tc>
          <w:tcPr/>
          <w:p>
            <w:pPr>
              <w:pStyle w:val="Compact"/>
              <w:jc w:val="left"/>
            </w:pPr>
            <w:r>
              <w:t xml:space="preserve">N/A</w:t>
            </w:r>
          </w:p>
        </w:tc>
        <w:tc>
          <w:tcPr/>
          <w:p>
            <w:pPr>
              <w:pStyle w:val="Compact"/>
              <w:jc w:val="left"/>
            </w:pPr>
            <w:r>
              <w:t xml:space="preserve">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 (Illustrative)</w:t>
            </w:r>
          </w:p>
        </w:tc>
        <w:tc>
          <w:tcPr/>
          <w:p>
            <w:pPr>
              <w:pStyle w:val="Compact"/>
              <w:jc w:val="left"/>
            </w:pPr>
            <w:r>
              <w:t xml:space="preserve">~15.0 (Illustrative)</w:t>
            </w:r>
          </w:p>
        </w:tc>
      </w:tr>
      <w:tr>
        <w:tc>
          <w:tcPr/>
          <w:p>
            <w:pPr>
              <w:pStyle w:val="Compact"/>
              <w:jc w:val="left"/>
            </w:pPr>
            <w:r>
              <w:t xml:space="preserve">MAT001</w:t>
            </w:r>
          </w:p>
        </w:tc>
        <w:tc>
          <w:tcPr/>
          <w:p>
            <w:pPr>
              <w:pStyle w:val="Compact"/>
              <w:jc w:val="left"/>
            </w:pPr>
            <w:r>
              <w:t xml:space="preserve">Placeholder Material 1</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X</w:t>
            </w:r>
          </w:p>
        </w:tc>
        <w:tc>
          <w:tcPr/>
          <w:p>
            <w:pPr>
              <w:pStyle w:val="Compact"/>
              <w:jc w:val="left"/>
            </w:pPr>
            <w:r>
              <w:t xml:space="preserve">kg</w:t>
            </w:r>
          </w:p>
        </w:tc>
        <w:tc>
          <w:tcPr/>
          <w:p>
            <w:pPr>
              <w:pStyle w:val="Compact"/>
              <w:jc w:val="left"/>
            </w:pPr>
            <w:r>
              <w:t xml:space="preserve">Y</w:t>
            </w:r>
          </w:p>
        </w:tc>
        <w:tc>
          <w:tcPr/>
          <w:p>
            <w:pPr>
              <w:pStyle w:val="Compact"/>
              <w:jc w:val="left"/>
            </w:pPr>
            <w:r>
              <w:t xml:space="preserve">Z</w:t>
            </w:r>
          </w:p>
        </w:tc>
      </w:tr>
      <w:tr>
        <w:tc>
          <w:tcPr/>
          <w:p>
            <w:pPr>
              <w:pStyle w:val="Compact"/>
              <w:jc w:val="left"/>
            </w:pPr>
            <w:r>
              <w:t xml:space="preserve">MAT002</w:t>
            </w:r>
          </w:p>
        </w:tc>
        <w:tc>
          <w:tcPr/>
          <w:p>
            <w:pPr>
              <w:pStyle w:val="Compact"/>
              <w:jc w:val="left"/>
            </w:pPr>
            <w:r>
              <w:t xml:space="preserve">Placeholder Material 2</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A</w:t>
            </w:r>
          </w:p>
        </w:tc>
        <w:tc>
          <w:tcPr/>
          <w:p>
            <w:pPr>
              <w:pStyle w:val="Compact"/>
              <w:jc w:val="left"/>
            </w:pPr>
            <w:r>
              <w:t xml:space="preserve">kg</w:t>
            </w:r>
          </w:p>
        </w:tc>
        <w:tc>
          <w:tcPr/>
          <w:p>
            <w:pPr>
              <w:pStyle w:val="Compact"/>
              <w:jc w:val="left"/>
            </w:pPr>
            <w:r>
              <w:t xml:space="preserve">B</w:t>
            </w:r>
          </w:p>
        </w:tc>
        <w:tc>
          <w:tcPr/>
          <w:p>
            <w:pPr>
              <w:pStyle w:val="Compact"/>
              <w:jc w:val="left"/>
            </w:pPr>
            <w:r>
              <w:t xml:space="preserve">C</w:t>
            </w:r>
          </w:p>
        </w:tc>
      </w:tr>
    </w:tbl>
    <w:p>
      <w:pPr>
        <w:pStyle w:val="BodyText"/>
      </w:pPr>
      <w:r>
        <w:rPr>
          <w:iCs/>
          <w:i/>
        </w:rPr>
        <w:t xml:space="preserve">Note: The specific numerical values for Quantity, Emission Factor, and Total Carbon in the row for \'jydhjodv\' are illustrative. In a full analysis, \'jydhjodv\' would represent detailed, parseable data for each component. Emission factors for materials are typically sourced from databases like Ecoinvent, which provides thousands of factors for various materials and manufacturing processes, with data updated regularly to reflect current market mixes and policies.</w:t>
      </w:r>
    </w:p>
    <w:bookmarkEnd w:id="25"/>
    <w:bookmarkStart w:id="26" w:name="energy-inputs-production-phase"/>
    <w:p>
      <w:pPr>
        <w:pStyle w:val="Heading3"/>
      </w:pPr>
      <w:r>
        <w:t xml:space="preserve">3.2. Energy Inputs (Production Phase)</w:t>
      </w:r>
    </w:p>
    <w:p>
      <w:pPr>
        <w:pStyle w:val="FirstParagraph"/>
      </w:pPr>
      <w:r>
        <w:t xml:space="preserve">The energy profile for the manufacturing of \'skqhimnwij\' in China is based on the following parameters:</w:t>
      </w:r>
    </w:p>
    <w:p>
      <w:pPr>
        <w:numPr>
          <w:ilvl w:val="0"/>
          <w:numId w:val="1004"/>
        </w:numPr>
        <w:pStyle w:val="Compact"/>
      </w:pPr>
      <w:r>
        <w:rPr>
          <w:bCs/>
          <w:b/>
        </w:rPr>
        <w:t xml:space="preserve">Renewable Energy Usage:</w:t>
      </w:r>
      <w:r>
        <w:t xml:space="preserve"> </w:t>
      </w:r>
      <w:r>
        <w:rPr>
          <w:bCs/>
          <w:b/>
        </w:rPr>
        <w:t xml:space="preserve">tynedxkfof</w:t>
      </w:r>
      <w:r>
        <w:t xml:space="preserve"> </w:t>
      </w:r>
      <w:r>
        <w:t xml:space="preserve">(e.g., 20%). China is a global leader in renewable energy, with installed renewable energy capacity exceeding 2.34 TW by the end of 2025 and clean electricity capacity reaching 52% as of February 2026. Renewable energy consumption in China accounted for 15.2% of its total final energy consumption in 2021.</w:t>
      </w:r>
    </w:p>
    <w:p>
      <w:pPr>
        <w:numPr>
          <w:ilvl w:val="0"/>
          <w:numId w:val="1004"/>
        </w:numPr>
        <w:pStyle w:val="Compact"/>
      </w:pPr>
      <w:r>
        <w:rPr>
          <w:bCs/>
          <w:b/>
        </w:rPr>
        <w:t xml:space="preserve">Energy Intensity (kWh/unit):</w:t>
      </w:r>
      <w:r>
        <w:t xml:space="preserve"> </w:t>
      </w:r>
      <w:r>
        <w:rPr>
          <w:bCs/>
          <w:b/>
        </w:rPr>
        <w:t xml:space="preserve">soloxkqxhd</w:t>
      </w:r>
      <w:r>
        <w:t xml:space="preserve"> </w:t>
      </w:r>
      <w:r>
        <w:t xml:space="preserve">(e.g., 50 kWh/unit). Manufacturing facilities in general have varying energy intensities; for instance, US manufacturers use an average of 95.1 kWh of electricity per square foot annually. Specific energy intensity for \'skqhimnwij\' is crucial for accurate calculation.</w:t>
      </w:r>
    </w:p>
    <w:bookmarkEnd w:id="26"/>
    <w:bookmarkStart w:id="27" w:name="logistics-data"/>
    <w:p>
      <w:pPr>
        <w:pStyle w:val="Heading3"/>
      </w:pPr>
      <w:r>
        <w:t xml:space="preserve">3.3. Logistics Data</w:t>
      </w:r>
    </w:p>
    <w:p>
      <w:pPr>
        <w:pStyle w:val="FirstParagraph"/>
      </w:pPr>
      <w:r>
        <w:t xml:space="preserve">Transportation activities throughout the supply chain significantly contribute to the PCF.</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(e.g., Ocean Freight for bulk, Road for regional, Air for express).</w:t>
      </w:r>
    </w:p>
    <w:p>
      <w:pPr>
        <w:numPr>
          <w:ilvl w:val="0"/>
          <w:numId w:val="1005"/>
        </w:numPr>
        <w:pStyle w:val="Compact"/>
      </w:pPr>
      <w:r>
        <w:rPr>
          <w:bCs/>
          <w:b/>
        </w:rPr>
        <w:t xml:space="preserve">Transport Distance:</w:t>
      </w:r>
      <w:r>
        <w:t xml:space="preserve"> </w:t>
      </w:r>
      <w:r>
        <w:rPr>
          <w:bCs/>
          <w:b/>
        </w:rPr>
        <w:t xml:space="preserve">qghsxpwutg</w:t>
      </w:r>
      <w:r>
        <w:t xml:space="preserve"> </w:t>
      </w:r>
      <w:r>
        <w:t xml:space="preserve">(e.g., 10,000 km for ocean, 500 km for road).</w:t>
      </w:r>
    </w:p>
    <w:p>
      <w:pPr>
        <w:numPr>
          <w:ilvl w:val="0"/>
          <w:numId w:val="1005"/>
        </w:numPr>
        <w:pStyle w:val="Compact"/>
      </w:pPr>
      <w:r>
        <w:rPr>
          <w:bCs/>
          <w:b/>
        </w:rPr>
        <w:t xml:space="preserve">Last-Mile Delivery Channel:</w:t>
      </w:r>
      <w:r>
        <w:t xml:space="preserve"> </w:t>
      </w:r>
      <w:r>
        <w:rPr>
          <w:bCs/>
          <w:b/>
        </w:rPr>
        <w:t xml:space="preserve">Delivery Type</w:t>
      </w:r>
      <w:r>
        <w:t xml:space="preserve"> </w:t>
      </w:r>
      <w:r>
        <w:t xml:space="preserve">(e.g., Parcel Service, Dedicated Fleet).</w:t>
      </w:r>
    </w:p>
    <w:p>
      <w:pPr>
        <w:pStyle w:val="FirstParagraph"/>
      </w:pPr>
      <w:r>
        <w:t xml:space="preserve">Emission factors for transportation are typically obtained from recognized sources such as DEFRA, which provides factors for various vehicle types and fuel consumption.</w:t>
      </w:r>
    </w:p>
    <w:bookmarkEnd w:id="27"/>
    <w:bookmarkStart w:id="28" w:name="use-phase-data"/>
    <w:p>
      <w:pPr>
        <w:pStyle w:val="Heading3"/>
      </w:pPr>
      <w:r>
        <w:t xml:space="preserve">3.4. Use Phase Data</w:t>
      </w:r>
    </w:p>
    <w:p>
      <w:pPr>
        <w:pStyle w:val="FirstParagraph"/>
      </w:pPr>
      <w:r>
        <w:t xml:space="preserve">The impact during the product\'s operational life is critical, especially for energy-consuming products.</w:t>
      </w:r>
    </w:p>
    <w:p>
      <w:pPr>
        <w:numPr>
          <w:ilvl w:val="0"/>
          <w:numId w:val="1006"/>
        </w:numPr>
        <w:pStyle w:val="Compact"/>
      </w:pPr>
      <w:r>
        <w:rPr>
          <w:bCs/>
          <w:b/>
        </w:rPr>
        <w:t xml:space="preserve">Product Lifespan:</w:t>
      </w:r>
      <w:r>
        <w:t xml:space="preserve"> </w:t>
      </w:r>
      <w:r>
        <w:rPr>
          <w:bCs/>
          <w:b/>
        </w:rPr>
        <w:t xml:space="preserve">povistpeik</w:t>
      </w:r>
      <w:r>
        <w:t xml:space="preserve"> </w:t>
      </w:r>
      <w:r>
        <w:t xml:space="preserve">(e.g., 5 years). The average lifespan of electronic goods can vary, with mobile phones around 4 years and small appliances around 5 years.</w:t>
      </w:r>
    </w:p>
    <w:p>
      <w:pPr>
        <w:numPr>
          <w:ilvl w:val="0"/>
          <w:numId w:val="1006"/>
        </w:numPr>
        <w:pStyle w:val="Compact"/>
      </w:pPr>
      <w:r>
        <w:rPr>
          <w:bCs/>
          <w:b/>
        </w:rPr>
        <w:t xml:space="preserve">Energy Consumption in Use:</w:t>
      </w:r>
      <w:r>
        <w:t xml:space="preserve"> </w:t>
      </w:r>
      <w:r>
        <w:rPr>
          <w:bCs/>
          <w:b/>
        </w:rPr>
        <w:t xml:space="preserve">unitrzpoei</w:t>
      </w:r>
      <w:r>
        <w:t xml:space="preserve"> </w:t>
      </w:r>
      <w:r>
        <w:t xml:space="preserve">(e.g., 10 kWh/year). This represents the energy consumed by the end-user over the product\'s lifespan.</w:t>
      </w:r>
    </w:p>
    <w:bookmarkEnd w:id="28"/>
    <w:bookmarkStart w:id="29" w:name="end-of-life-eol-data"/>
    <w:p>
      <w:pPr>
        <w:pStyle w:val="Heading3"/>
      </w:pPr>
      <w:r>
        <w:t xml:space="preserve">3.5. End-of-Life (EoL) Data</w:t>
      </w:r>
    </w:p>
    <w:p>
      <w:pPr>
        <w:pStyle w:val="FirstParagraph"/>
      </w:pPr>
      <w:r>
        <w:t xml:space="preserve">The management of \'skqhimnwij\' at the end of its life impacts its overall footprint.</w:t>
      </w:r>
    </w:p>
    <w:p>
      <w:pPr>
        <w:numPr>
          <w:ilvl w:val="0"/>
          <w:numId w:val="1007"/>
        </w:numPr>
        <w:pStyle w:val="Compact"/>
      </w:pPr>
      <w:r>
        <w:rPr>
          <w:bCs/>
          <w:b/>
        </w:rPr>
        <w:t xml:space="preserve">Recyclability Percentage:</w:t>
      </w:r>
      <w:r>
        <w:t xml:space="preserve"> </w:t>
      </w:r>
      <w:r>
        <w:rPr>
          <w:bCs/>
          <w:b/>
        </w:rPr>
        <w:t xml:space="preserve">eoxlirsnsu</w:t>
      </w:r>
      <w:r>
        <w:t xml:space="preserve"> </w:t>
      </w:r>
      <w:r>
        <w:t xml:space="preserve">(e.g., 40%). Globally, e-waste recycling rates remain low, with approximately 15-22.3% of all e-waste recycled between 2019 and 2022. China\'s recycling rate for e-waste is below 16%.</w:t>
      </w:r>
    </w:p>
    <w:p>
      <w:pPr>
        <w:numPr>
          <w:ilvl w:val="0"/>
          <w:numId w:val="1007"/>
        </w:numPr>
        <w:pStyle w:val="Compact"/>
      </w:pPr>
      <w:r>
        <w:rPr>
          <w:bCs/>
          <w:b/>
        </w:rPr>
        <w:t xml:space="preserve">Circular/Take-back Programs:</w:t>
      </w:r>
      <w:r>
        <w:t xml:space="preserve"> </w:t>
      </w:r>
      <w:r>
        <w:rPr>
          <w:bCs/>
          <w:b/>
        </w:rPr>
        <w:t xml:space="preserve">drftxpehmp</w:t>
      </w:r>
      <w:r>
        <w:t xml:space="preserve"> </w:t>
      </w:r>
      <w:r>
        <w:t xml:space="preserve">(e.g., Manufacturer take-back scheme, component refurbishment). Circular economy initiatives, such as electronics refurbishment programs and product-as-a-service models, aim to extend product lifespans and reduce waste.</w:t>
      </w:r>
    </w:p>
    <w:p>
      <w:r>
        <w:pict>
          <v:rect style="width:0;height:1.5pt" o:hralign="center" o:hrstd="t" o:hr="t"/>
        </w:pict>
      </w:r>
    </w:p>
    <w:bookmarkEnd w:id="29"/>
    <w:bookmarkEnd w:id="30"/>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km traveled) by relevant emission factors (e.g., kgCO2e/kg material, kgCO2e/kWh, kgCO2e/km). Industry-standard emission factors, such as those from Ecoinvent and DEFRA, are utilized.</w:t>
      </w:r>
    </w:p>
    <w:p>
      <w:pPr>
        <w:pStyle w:val="BodyText"/>
      </w:pPr>
      <w:r>
        <w:t xml:space="preserve">The emissions are categorized according to the GHG Protocol: Scope 1 (direct), Scope 2 (purchased energy), and Scope 3 (value chain).</w:t>
      </w:r>
    </w:p>
    <w:bookmarkStart w:id="31" w:name="scope-1-direct-emissions"/>
    <w:p>
      <w:pPr>
        <w:pStyle w:val="Heading3"/>
      </w:pPr>
      <w:r>
        <w:t xml:space="preserve">4.1. Scope 1: Direct Emissions</w:t>
      </w:r>
    </w:p>
    <w:p>
      <w:pPr>
        <w:pStyle w:val="FirstParagraph"/>
      </w:pPr>
      <w:r>
        <w:t xml:space="preserve">These are GHG emissions from sources owned or controlled by sfinzupeno\'s manufacturing facility in China. Given a \'factory_gate\' boundary, this would primarily include direct fuel combustion for on-site machinery, boilers, or company-owned vehicles within the factory premises.</w:t>
      </w:r>
    </w:p>
    <w:p>
      <w:pPr>
        <w:numPr>
          <w:ilvl w:val="0"/>
          <w:numId w:val="1008"/>
        </w:numPr>
        <w:pStyle w:val="Compact"/>
      </w:pPr>
      <w:r>
        <w:rPr>
          <w:bCs/>
          <w:b/>
        </w:rPr>
        <w:t xml:space="preserve">Illustrative Calculation Example:</w:t>
      </w:r>
    </w:p>
    <w:p>
      <w:pPr>
        <w:numPr>
          <w:ilvl w:val="1"/>
          <w:numId w:val="1009"/>
        </w:numPr>
        <w:pStyle w:val="Compact"/>
      </w:pPr>
      <w:r>
        <w:t xml:space="preserve">On-site natural gas consumption: 100 MWh * 0.202 kgCO2e/kWh (natural gas emission factor) = 20,200 kgCO2e</w:t>
      </w:r>
    </w:p>
    <w:bookmarkEnd w:id="31"/>
    <w:bookmarkStart w:id="32" w:name="scope-2-energy-indirect-emissions"/>
    <w:p>
      <w:pPr>
        <w:pStyle w:val="Heading3"/>
      </w:pPr>
      <w:r>
        <w:t xml:space="preserve">4.2. Scope 2: Energy Indirect Emissions</w:t>
      </w:r>
    </w:p>
    <w:p>
      <w:pPr>
        <w:pStyle w:val="FirstParagraph"/>
      </w:pPr>
      <w:r>
        <w:t xml:space="preserve">These are GHG emissions from the generation of purchased electricity, heat, or steam consumed by sfinzupeno\'s manufacturing operations in China.</w:t>
      </w:r>
    </w:p>
    <w:p>
      <w:pPr>
        <w:numPr>
          <w:ilvl w:val="0"/>
          <w:numId w:val="1010"/>
        </w:numPr>
        <w:pStyle w:val="Compact"/>
      </w:pPr>
      <w:r>
        <w:rPr>
          <w:bCs/>
          <w:b/>
        </w:rPr>
        <w:t xml:space="preserve">Illustrative Calculation Example:</w:t>
      </w:r>
    </w:p>
    <w:p>
      <w:pPr>
        <w:numPr>
          <w:ilvl w:val="1"/>
          <w:numId w:val="1011"/>
        </w:numPr>
        <w:pStyle w:val="Compact"/>
      </w:pPr>
      <w:r>
        <w:t xml:space="preserve">Total Electricity Consumption (based on \'soloxkqxhd\'): 50 kWh/unit</w:t>
      </w:r>
    </w:p>
    <w:p>
      <w:pPr>
        <w:numPr>
          <w:ilvl w:val="1"/>
          <w:numId w:val="1011"/>
        </w:numPr>
        <w:pStyle w:val="Compact"/>
      </w:pPr>
      <w:r>
        <w:t xml:space="preserve">Grid Emission Factor (China, illustrative, Ecoinvent/DEFRA): 0.5 kgCO2e/kWh (assuming average mix, before renewables offset).</w:t>
      </w:r>
    </w:p>
    <w:p>
      <w:pPr>
        <w:numPr>
          <w:ilvl w:val="1"/>
          <w:numId w:val="1011"/>
        </w:numPr>
        <w:pStyle w:val="Compact"/>
      </w:pPr>
      <w:r>
        <w:t xml:space="preserve">Renewable Energy Usage (\'tynedxkfof\'): 20%</w:t>
      </w:r>
    </w:p>
    <w:p>
      <w:pPr>
        <w:numPr>
          <w:ilvl w:val="1"/>
          <w:numId w:val="1011"/>
        </w:numPr>
        <w:pStyle w:val="Compact"/>
      </w:pPr>
      <w:r>
        <w:t xml:space="preserve">Net Grid Emissions: (50 kWh/unit * 0.5 kgCO2e/kWh) * (1 - 0.20) = 20 kgCO2e/unit</w:t>
      </w:r>
    </w:p>
    <w:bookmarkEnd w:id="32"/>
    <w:bookmarkStart w:id="35" w:name="X37db9139fff08cccc0b4e0153e9b7b95d4db9f9"/>
    <w:p>
      <w:pPr>
        <w:pStyle w:val="Heading3"/>
      </w:pPr>
      <w:r>
        <w:t xml:space="preserve">4.3. Scope 3: Other Indirect Emissions (Value Chain Emissions)</w:t>
      </w:r>
    </w:p>
    <w:p>
      <w:pPr>
        <w:pStyle w:val="FirstParagraph"/>
      </w:pPr>
      <w:r>
        <w:t xml:space="preserve">Scope 3 emissions are typically the most significant portion of a product\'s carbon footprint and encompass all other indirect emissions occurring in the value chain.</w:t>
      </w:r>
    </w:p>
    <w:p>
      <w:pPr>
        <w:pStyle w:val="BodyText"/>
      </w:pPr>
      <w:r>
        <w:rPr>
          <w:bCs/>
          <w:b/>
        </w:rPr>
        <w:t xml:space="preserve">SCOPE 3 COMPLIANCE:</w:t>
      </w:r>
      <w:r>
        <w:t xml:space="preserve"> </w:t>
      </w:r>
      <w:r>
        <w:t xml:space="preserve">As per the proposed 2026 GHG Protocol revisions, companies are required to report at least 95% of total required Scope 3 emissions to remain compliant, indicating a strong push for comprehensive reporting across the value chain.</w:t>
      </w:r>
    </w:p>
    <w:bookmarkStart w:id="33" w:name="upstream-emissions"/>
    <w:p>
      <w:pPr>
        <w:pStyle w:val="Heading4"/>
      </w:pPr>
      <w:r>
        <w:t xml:space="preserve">Upstream Emissions:</w:t>
      </w:r>
    </w:p>
    <w:p>
      <w:pPr>
        <w:numPr>
          <w:ilvl w:val="0"/>
          <w:numId w:val="1012"/>
        </w:numPr>
        <w:pStyle w:val="Compact"/>
      </w:pPr>
      <w:r>
        <w:rPr>
          <w:bCs/>
          <w:b/>
        </w:rPr>
        <w:t xml:space="preserve">Purchased Goods and Services (Materials):</w:t>
      </w:r>
      <w:r>
        <w:t xml:space="preserve"> </w:t>
      </w:r>
      <w:r>
        <w:t xml:space="preserve">Based on the BOM (jydhjodv), and using illustrative emission factors.</w:t>
      </w:r>
    </w:p>
    <w:p>
      <w:pPr>
        <w:numPr>
          <w:ilvl w:val="1"/>
          <w:numId w:val="1013"/>
        </w:numPr>
        <w:pStyle w:val="Compact"/>
      </w:pPr>
      <w:r>
        <w:t xml:space="preserve">Example for \'jydhjodv\' (placeholder): 1 unit * 15.0 kgCO2e/unit (illustrative from BOM) = 15.0 kgCO2e</w:t>
      </w:r>
    </w:p>
    <w:p>
      <w:pPr>
        <w:numPr>
          <w:ilvl w:val="1"/>
          <w:numId w:val="1013"/>
        </w:numPr>
        <w:pStyle w:val="Compact"/>
      </w:pPr>
      <w:r>
        <w:t xml:space="preserve">Example for other materials: Material 1 (X kg * Y kgCO2e/kg) + Material 2 (A kg * B kgCO2e/kg)</w:t>
      </w:r>
    </w:p>
    <w:p>
      <w:pPr>
        <w:numPr>
          <w:ilvl w:val="0"/>
          <w:numId w:val="1012"/>
        </w:numPr>
        <w:pStyle w:val="Compact"/>
      </w:pPr>
      <w:r>
        <w:rPr>
          <w:bCs/>
          <w:b/>
        </w:rPr>
        <w:t xml:space="preserve">Upstream Transportation and Distribution:</w:t>
      </w:r>
      <w:r>
        <w:t xml:space="preserve"> </w:t>
      </w:r>
      <w:r>
        <w:t xml:space="preserve">Transport of raw materials/components to the factory.</w:t>
      </w:r>
    </w:p>
    <w:p>
      <w:pPr>
        <w:numPr>
          <w:ilvl w:val="1"/>
          <w:numId w:val="1014"/>
        </w:numPr>
        <w:pStyle w:val="Compact"/>
      </w:pPr>
      <w:r>
        <w:t xml:space="preserve">Example for \'Select Mode\' and \'qghsxpwutg\': 10,000 km (ocean freight) * 0.01 kgCO2e/tkm (illustrative ocean factor) + 500 km (road freight) * 0.09 kgCO2e/tkm (illustrative road factor) = e.g., 100 kgCO2e + 45 kgCO2e = 145 kgCO2e (per tonne of goods)</w:t>
      </w:r>
    </w:p>
    <w:bookmarkEnd w:id="33"/>
    <w:bookmarkStart w:id="34" w:name="downstream-emissions"/>
    <w:p>
      <w:pPr>
        <w:pStyle w:val="Heading4"/>
      </w:pPr>
      <w:r>
        <w:t xml:space="preserve">Downstream Emissions:</w:t>
      </w:r>
    </w:p>
    <w:p>
      <w:pPr>
        <w:numPr>
          <w:ilvl w:val="0"/>
          <w:numId w:val="1015"/>
        </w:numPr>
        <w:pStyle w:val="Compact"/>
      </w:pPr>
      <w:r>
        <w:rPr>
          <w:bCs/>
          <w:b/>
        </w:rPr>
        <w:t xml:space="preserve">Use of Sold Products:</w:t>
      </w:r>
      <w:r>
        <w:t xml:space="preserve"> </w:t>
      </w:r>
      <w:r>
        <w:t xml:space="preserve">Energy consumption during the product\'s lifespan.</w:t>
      </w:r>
    </w:p>
    <w:p>
      <w:pPr>
        <w:numPr>
          <w:ilvl w:val="1"/>
          <w:numId w:val="1016"/>
        </w:numPr>
        <w:pStyle w:val="Compact"/>
      </w:pPr>
      <w:r>
        <w:t xml:space="preserve">Example: \'unitrzpoei\' (10 kWh/year) * \'povistpeik\' (5 years) * 0.5 kgCO2e/kWh (illustrative grid mix) = 25 kgCO2e/unit</w:t>
      </w:r>
    </w:p>
    <w:p>
      <w:pPr>
        <w:numPr>
          <w:ilvl w:val="0"/>
          <w:numId w:val="1015"/>
        </w:numPr>
        <w:pStyle w:val="Compact"/>
      </w:pPr>
      <w:r>
        <w:rPr>
          <w:bCs/>
          <w:b/>
        </w:rPr>
        <w:t xml:space="preserve">End-of-Life Treatment of Sold Products:</w:t>
      </w:r>
      <w:r>
        <w:t xml:space="preserve"> </w:t>
      </w:r>
      <w:r>
        <w:t xml:space="preserve">Disposal, recycling, and treatment of the product.</w:t>
      </w:r>
    </w:p>
    <w:p>
      <w:pPr>
        <w:numPr>
          <w:ilvl w:val="1"/>
          <w:numId w:val="1017"/>
        </w:numPr>
        <w:pStyle w:val="Compact"/>
      </w:pPr>
      <w:r>
        <w:t xml:space="preserve">Example: (1 - \'eoxlirsnsu\' (40% recyclability)) * 0.5 kg (waste mass) * 0.1 kgCO2e/kg (landfill factor) + (\'eoxlirsnsu\' (40% recyclability)) * 0.5 kg * 0.05 kgCO2e/kg (recycling factor) = e.g., 0.03 kgCO2e + 0.01 kgCO2e = 0.04 kgCO2e</w:t>
      </w:r>
    </w:p>
    <w:p>
      <w:pPr>
        <w:numPr>
          <w:ilvl w:val="1"/>
          <w:numId w:val="1017"/>
        </w:numPr>
        <w:pStyle w:val="Compact"/>
      </w:pPr>
      <w:r>
        <w:t xml:space="preserve">The presence of \'drftxpehmp\' (circular/take-back programs) can significantly mitigate EoL impacts by promoting reuse and higher-value recovery.</w:t>
      </w:r>
    </w:p>
    <w:bookmarkEnd w:id="34"/>
    <w:bookmarkEnd w:id="35"/>
    <w:bookmarkStart w:id="36" w:name="Xb8c405779a5458c1a347be7ddcc03e87715db98"/>
    <w:p>
      <w:pPr>
        <w:pStyle w:val="Heading3"/>
      </w:pPr>
      <w:r>
        <w:t xml:space="preserve">Summary of Product Carbon Footprint (Illustrative)</w:t>
      </w:r>
    </w:p>
    <w:p>
      <w:pPr>
        <w:pStyle w:val="FirstParagraph"/>
      </w:pPr>
      <w:r>
        <w:t xml:space="preserve">The following table provides an illustrative summary of the PCF for \'skqhimnwij\', based on the parameters provided and typical emission factors. Actual numerical values would require precise parsing of all input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CO2e (kgCO2e/unit)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Manufacturing (Process &amp; On-site Fuel)</w:t>
            </w:r>
          </w:p>
        </w:tc>
        <w:tc>
          <w:tcPr/>
          <w:p>
            <w:pPr>
              <w:pStyle w:val="Compact"/>
              <w:jc w:val="left"/>
            </w:pPr>
            <w:r>
              <w:t xml:space="preserve">Scope 1</w:t>
            </w:r>
          </w:p>
        </w:tc>
        <w:tc>
          <w:tcPr/>
          <w:p>
            <w:pPr>
              <w:pStyle w:val="Compact"/>
              <w:jc w:val="left"/>
            </w:pPr>
            <w:r>
              <w:t xml:space="preserve">2.0</w:t>
            </w:r>
          </w:p>
        </w:tc>
        <w:tc>
          <w:tcPr/>
          <w:p>
            <w:pPr>
              <w:pStyle w:val="Compact"/>
              <w:jc w:val="left"/>
            </w:pPr>
            <w:r>
              <w:t xml:space="preserve">4%</w:t>
            </w:r>
          </w:p>
        </w:tc>
      </w:tr>
      <w:tr>
        <w:tc>
          <w:tcPr/>
          <w:p>
            <w:pPr>
              <w:pStyle w:val="Compact"/>
              <w:jc w:val="left"/>
            </w:pPr>
            <w:r>
              <w:t xml:space="preserve">Transportation (Upstream)</w:t>
            </w:r>
          </w:p>
        </w:tc>
        <w:tc>
          <w:tcPr/>
          <w:p>
            <w:pPr>
              <w:pStyle w:val="Compact"/>
              <w:jc w:val="left"/>
            </w:pPr>
            <w:r>
              <w:t xml:space="preserve">Scope 3</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Transportation (Downstream/Last-Mile)</w:t>
            </w:r>
          </w:p>
        </w:tc>
        <w:tc>
          <w:tcPr/>
          <w:p>
            <w:pPr>
              <w:pStyle w:val="Compact"/>
              <w:jc w:val="left"/>
            </w:pPr>
            <w:r>
              <w:t xml:space="preserve">Scope 3</w:t>
            </w:r>
          </w:p>
        </w:tc>
        <w:tc>
          <w:tcPr/>
          <w:p>
            <w:pPr>
              <w:pStyle w:val="Compact"/>
              <w:jc w:val="left"/>
            </w:pPr>
            <w:r>
              <w:t xml:space="preserve">3.0</w:t>
            </w:r>
          </w:p>
        </w:tc>
        <w:tc>
          <w:tcPr/>
          <w:p>
            <w:pPr>
              <w:pStyle w:val="Compact"/>
              <w:jc w:val="left"/>
            </w:pPr>
            <w:r>
              <w:t xml:space="preserve">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4.0</w:t>
            </w:r>
          </w:p>
        </w:tc>
        <w:tc>
          <w:tcPr/>
          <w:p>
            <w:pPr>
              <w:pStyle w:val="Compact"/>
              <w:jc w:val="left"/>
            </w:pPr>
            <w:r>
              <w:t xml:space="preserve">8%</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1.0</w:t>
            </w:r>
          </w:p>
        </w:tc>
        <w:tc>
          <w:tcPr/>
          <w:p>
            <w:pPr>
              <w:pStyle w:val="Compact"/>
              <w:jc w:val="left"/>
            </w:pPr>
            <w:r>
              <w:t xml:space="preserve">2%</w:t>
            </w:r>
          </w:p>
        </w:tc>
      </w:tr>
      <w:tr>
        <w:tc>
          <w:tcPr/>
          <w:p>
            <w:pPr>
              <w:pStyle w:val="Compact"/>
              <w:jc w:val="left"/>
            </w:pPr>
            <w:r>
              <w:t xml:space="preserve">Total Product Carbon Footprint</w:t>
            </w:r>
          </w:p>
        </w:tc>
        <w:tc>
          <w:tcPr/>
          <w:p>
            <w:pPr>
              <w:pStyle w:val="Compact"/>
            </w:pPr>
          </w:p>
        </w:tc>
        <w:tc>
          <w:tcPr/>
          <w:p>
            <w:pPr>
              <w:pStyle w:val="Compact"/>
              <w:jc w:val="left"/>
            </w:pPr>
            <w:r>
              <w:t xml:space="preserve">50.0</w:t>
            </w:r>
          </w:p>
        </w:tc>
        <w:tc>
          <w:tcPr/>
          <w:p>
            <w:pPr>
              <w:pStyle w:val="Compact"/>
              <w:jc w:val="left"/>
            </w:pPr>
            <w:r>
              <w:t xml:space="preserve">100%</w:t>
            </w:r>
          </w:p>
        </w:tc>
      </w:tr>
    </w:tbl>
    <w:p>
      <w:pPr>
        <w:pStyle w:val="BodyText"/>
      </w:pPr>
      <w:r>
        <w:rPr>
          <w:iCs/>
          <w:i/>
        </w:rPr>
        <w:t xml:space="preserve">Note: The CO2e values presented in this summary are illustrative examples to demonstrate the breakdown across lifecycle stages and scopes. A precise calculation would require detailed, parseable quantitative data for all specified parameters.</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illustrative calculations, the primary emission hotspots for \'skqhimnwij\' are identified as:</w:t>
      </w:r>
    </w:p>
    <w:p>
      <w:pPr>
        <w:numPr>
          <w:ilvl w:val="0"/>
          <w:numId w:val="1018"/>
        </w:numPr>
        <w:pStyle w:val="Compact"/>
      </w:pPr>
      <w:r>
        <w:rPr>
          <w:bCs/>
          <w:b/>
        </w:rPr>
        <w:t xml:space="preserve">Manufacturing (Scope 2 Energy):</w:t>
      </w:r>
      <w:r>
        <w:t xml:space="preserve"> </w:t>
      </w:r>
      <w:r>
        <w:t xml:space="preserve">The energy consumed during the production process, especially if a significant portion is from non-renewable sources, is a major contributor.</w:t>
      </w:r>
    </w:p>
    <w:p>
      <w:pPr>
        <w:numPr>
          <w:ilvl w:val="0"/>
          <w:numId w:val="1018"/>
        </w:numPr>
        <w:pStyle w:val="Compact"/>
      </w:pPr>
      <w:r>
        <w:rPr>
          <w:bCs/>
          <w:b/>
        </w:rPr>
        <w:t xml:space="preserve">Materials Acquisition &amp; Pre-processing (Scope 3):</w:t>
      </w:r>
      <w:r>
        <w:t xml:space="preserve"> </w:t>
      </w:r>
      <w:r>
        <w:t xml:space="preserve">The extraction and processing of raw materials, particularly those with high embodied carbon, represent a substantial upstream impact.</w:t>
      </w:r>
    </w:p>
    <w:p>
      <w:pPr>
        <w:numPr>
          <w:ilvl w:val="0"/>
          <w:numId w:val="1018"/>
        </w:numPr>
        <w:pStyle w:val="Compact"/>
      </w:pPr>
      <w:r>
        <w:rPr>
          <w:bCs/>
          <w:b/>
        </w:rPr>
        <w:t xml:space="preserve">Transportation (Scope 3):</w:t>
      </w:r>
      <w:r>
        <w:t xml:space="preserve"> </w:t>
      </w:r>
      <w:r>
        <w:t xml:space="preserve">Both upstream and downstream logistics, particularly over long distances (e.g., China to Europe) and via modes with higher emission factors, contribute significantly.</w:t>
      </w:r>
    </w:p>
    <w:bookmarkEnd w:id="38"/>
    <w:bookmarkStart w:id="39" w:name="reliability-limitations"/>
    <w:p>
      <w:pPr>
        <w:pStyle w:val="Heading3"/>
      </w:pPr>
      <w:r>
        <w:t xml:space="preserve">5.2. Reliability &amp; Limitations</w:t>
      </w:r>
    </w:p>
    <w:p>
      <w:pPr>
        <w:pStyle w:val="FirstParagraph"/>
      </w:pPr>
      <w:r>
        <w:t xml:space="preserve">This report provides a high-detail framework and illustrative calculations based on the provided parameters. However, certain limitations should be acknowledged:</w:t>
      </w:r>
    </w:p>
    <w:p>
      <w:pPr>
        <w:numPr>
          <w:ilvl w:val="0"/>
          <w:numId w:val="1019"/>
        </w:numPr>
        <w:pStyle w:val="Compact"/>
      </w:pPr>
      <w:r>
        <w:rPr>
          <w:bCs/>
          <w:b/>
        </w:rPr>
        <w:t xml:space="preserve">Data Specificity:</w:t>
      </w:r>
      <w:r>
        <w:t xml:space="preserve"> </w:t>
      </w:r>
      <w:r>
        <w:t xml:space="preserve">The input for Detailed Bill of Materials (\'jydhjodv\') was provided as a literal string. While its format was specified, precise numerical data for each component (Qty, Emission Factor, Total Carbon) was not available for exact calculation. Illustrative values were used for demonstration.</w:t>
      </w:r>
    </w:p>
    <w:p>
      <w:pPr>
        <w:numPr>
          <w:ilvl w:val="0"/>
          <w:numId w:val="1019"/>
        </w:numPr>
        <w:pStyle w:val="Compact"/>
      </w:pPr>
      <w:r>
        <w:rPr>
          <w:bCs/>
          <w:b/>
        </w:rPr>
        <w:t xml:space="preserve">Secondary Data Reliance:</w:t>
      </w:r>
      <w:r>
        <w:t xml:space="preserve"> </w:t>
      </w:r>
      <w:r>
        <w:t xml:space="preserve">Calculations for emission factors rely on generalized industry databases (Ecoinvent, DEFRA), which represent average conditions. Product-specific primary data, where available, would enhance accuracy. The GHG Protocol increasingly emphasizes disaggregating Scope 3 emissions by data type to improve transparency and comparability.</w:t>
      </w:r>
    </w:p>
    <w:p>
      <w:pPr>
        <w:numPr>
          <w:ilvl w:val="0"/>
          <w:numId w:val="1019"/>
        </w:numPr>
        <w:pStyle w:val="Compact"/>
      </w:pPr>
      <w:r>
        <w:rPr>
          <w:bCs/>
          <w:b/>
        </w:rPr>
        <w:t xml:space="preserve">Parameter Assumptions:</w:t>
      </w:r>
      <w:r>
        <w:t xml:space="preserve"> </w:t>
      </w:r>
      <w:r>
        <w:t xml:space="preserve">For parameters like \'Select Mode\', \'qghsxpwutg\', \'Delivery Type\', \'tynedxkfof\', \'soloxkqxhd\', \'povistpeik\', \'unitrzpoei\', \'eoxlirsnsu\', and \'drftxpehmp\', generic or illustrative interpretations were made due to their placeholder nature in the prompt.</w:t>
      </w:r>
    </w:p>
    <w:p>
      <w:pPr>
        <w:numPr>
          <w:ilvl w:val="0"/>
          <w:numId w:val="1019"/>
        </w:numPr>
        <w:pStyle w:val="Compact"/>
      </w:pPr>
      <w:r>
        <w:rPr>
          <w:bCs/>
          <w:b/>
        </w:rPr>
        <w:t xml:space="preserve">Dynamic Nature:</w:t>
      </w:r>
      <w:r>
        <w:t xml:space="preserve"> </w:t>
      </w:r>
      <w:r>
        <w:t xml:space="preserve">Emission factors and energy mixes are continually evolving. The data used reflects the best available information at the time of report generation (May 2026), with the latest DEFRA factors typically updated annually and Ecoinvent yearly.</w:t>
      </w:r>
    </w:p>
    <w:bookmarkEnd w:id="39"/>
    <w:bookmarkStart w:id="40" w:name="recommendations-for-reduction"/>
    <w:p>
      <w:pPr>
        <w:pStyle w:val="Heading3"/>
      </w:pPr>
      <w:r>
        <w:t xml:space="preserve">5.3. Recommendations for Reduction</w:t>
      </w:r>
    </w:p>
    <w:p>
      <w:pPr>
        <w:pStyle w:val="FirstParagraph"/>
      </w:pPr>
      <w:r>
        <w:t xml:space="preserve">To reduce the Product Carbon Footprint of \'skqhimnwij\', sfinzupeno should consider the following actions:</w:t>
      </w:r>
    </w:p>
    <w:p>
      <w:pPr>
        <w:numPr>
          <w:ilvl w:val="0"/>
          <w:numId w:val="1020"/>
        </w:numPr>
        <w:pStyle w:val="Compact"/>
      </w:pPr>
      <w:r>
        <w:rPr>
          <w:bCs/>
          <w:b/>
        </w:rPr>
        <w:t xml:space="preserve">Material Optimization:</w:t>
      </w:r>
      <w:r>
        <w:t xml:space="preserve"> </w:t>
      </w:r>
      <w:r>
        <w:t xml:space="preserve">Investigate opportunities for using lower-carbon materials, recycled content, or materials with higher recyclability, addressing the impact from \'jydhjodv\'.</w:t>
      </w:r>
    </w:p>
    <w:p>
      <w:pPr>
        <w:numPr>
          <w:ilvl w:val="0"/>
          <w:numId w:val="1020"/>
        </w:numPr>
        <w:pStyle w:val="Compact"/>
      </w:pPr>
      <w:r>
        <w:rPr>
          <w:bCs/>
          <w:b/>
        </w:rPr>
        <w:t xml:space="preserve">Renewable Energy Procurement:</w:t>
      </w:r>
      <w:r>
        <w:t xml:space="preserve"> </w:t>
      </w:r>
      <w:r>
        <w:t xml:space="preserve">Increase the percentage of renewable energy usage (\'tynedxkfof\') in manufacturing operations in China, either through direct sourcing or Renewable Energy Certificates (RECs). China\'s increasing renewable energy capacity offers significant opportunities.</w:t>
      </w:r>
    </w:p>
    <w:p>
      <w:pPr>
        <w:numPr>
          <w:ilvl w:val="0"/>
          <w:numId w:val="1020"/>
        </w:numPr>
        <w:pStyle w:val="Compact"/>
      </w:pPr>
      <w:r>
        <w:rPr>
          <w:bCs/>
          <w:b/>
        </w:rPr>
        <w:t xml:space="preserve">Energy Efficiency Improvements:</w:t>
      </w:r>
      <w:r>
        <w:t xml:space="preserve"> </w:t>
      </w:r>
      <w:r>
        <w:t xml:space="preserve">Implement energy-efficient technologies and practices in the manufacturing facility to reduce energy intensity (\'soloxkqxhd\') across all processes.</w:t>
      </w:r>
    </w:p>
    <w:p>
      <w:pPr>
        <w:numPr>
          <w:ilvl w:val="0"/>
          <w:numId w:val="1020"/>
        </w:numPr>
        <w:pStyle w:val="Compact"/>
      </w:pPr>
      <w:r>
        <w:rPr>
          <w:bCs/>
          <w:b/>
        </w:rPr>
        <w:t xml:space="preserve">Logistics Optimization:</w:t>
      </w:r>
      <w:r>
        <w:t xml:space="preserve"> </w:t>
      </w:r>
      <w:r>
        <w:t xml:space="preserve">Review and optimize transport modes and routes (\'Select Mode\', \'qghsxpwutg\', \'Delivery Type\') to minimize fuel consumption and emissions, prioritizing lower-carbon options like sea freight or rail over air where feasible, especially for the Europe-focused supply chain.</w:t>
      </w:r>
    </w:p>
    <w:p>
      <w:pPr>
        <w:numPr>
          <w:ilvl w:val="0"/>
          <w:numId w:val="1020"/>
        </w:numPr>
        <w:pStyle w:val="Compact"/>
      </w:pPr>
      <w:r>
        <w:rPr>
          <w:bCs/>
          <w:b/>
        </w:rPr>
        <w:t xml:space="preserve">Extend Product Lifespan:</w:t>
      </w:r>
      <w:r>
        <w:t xml:space="preserve"> </w:t>
      </w:r>
      <w:r>
        <w:t xml:space="preserve">Design for durability and repairability (\'povistpeik\') to reduce the frequency of product replacement and associated embodied emissions.</w:t>
      </w:r>
    </w:p>
    <w:p>
      <w:pPr>
        <w:numPr>
          <w:ilvl w:val="0"/>
          <w:numId w:val="1020"/>
        </w:numPr>
        <w:pStyle w:val="Compact"/>
      </w:pPr>
      <w:r>
        <w:rPr>
          <w:bCs/>
          <w:b/>
        </w:rPr>
        <w:t xml:space="preserve">Enhance Circularity:</w:t>
      </w:r>
      <w:r>
        <w:t xml:space="preserve"> </w:t>
      </w:r>
      <w:r>
        <w:t xml:space="preserve">Strengthen take-back and recycling programs (\'drftxpehmp\', \'eoxlirsnsu\') to maximize material recovery and minimize waste at end-of-life. Initiatives like electronics refurbishment can significantly extend product lifecycles.</w:t>
      </w:r>
    </w:p>
    <w:bookmarkEnd w:id="40"/>
    <w:bookmarkStart w:id="41" w:name="conclusion"/>
    <w:p>
      <w:pPr>
        <w:pStyle w:val="Heading3"/>
      </w:pPr>
      <w:r>
        <w:t xml:space="preserve">5.4. Conclusion</w:t>
      </w:r>
    </w:p>
    <w:p>
      <w:pPr>
        <w:pStyle w:val="FirstParagraph"/>
      </w:pPr>
      <w:r>
        <w:t xml:space="preserve">This Product Carbon Footprint analysis for \'skqhimnwij\' provides sfinzupeno with a critical understanding of its environmental impact across the product\'s lifecycle. By meticulously following the GHG Protocol and integrating the latest standards, this report serves as a baseline for future sustainability efforts. Addressing the identified hotspots through strategic interventions in material sourcing, energy consumption, logistics, and end-of-life management will be essential for sfinzupeno to minimize its environmental footprint, meet evolving regulatory requirements, and demonstrate leadership in product sustainability.</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skqhimnwij</dc:title>
  <dc:creator/>
  <dc:description>High-detail Product Carbon Footprint (PCF) analysis report for skqhimnwij by Senior Sustainability Consultant ylpjrpldwk for sfinzupeno, adhering to GHG Protocol and 2026 LSR Update requirements.</dc:description>
  <dc:language>en</dc:language>
  <cp:keywords/>
  <dcterms:created xsi:type="dcterms:W3CDTF">2026-05-30T16:50:24Z</dcterms:created>
  <dcterms:modified xsi:type="dcterms:W3CDTF">2026-05-30T16:50:24Z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