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skkrfgixyi</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skkrfgixyi</w:t>
      </w:r>
    </w:p>
    <w:p>
      <w:pPr>
        <w:pStyle w:val="BodyText"/>
      </w:pPr>
      <w:r>
        <w:rPr>
          <w:bCs/>
          <w:b/>
        </w:rPr>
        <w:t xml:space="preserve">Company:</w:t>
      </w:r>
      <w:r>
        <w:t xml:space="preserve"> </w:t>
      </w:r>
      <w:r>
        <w:t xml:space="preserve">ozzziyotsz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fzuwupqjmw</w:t>
      </w:r>
    </w:p>
    <w:p>
      <w:pPr>
        <w:pStyle w:val="BodyText"/>
      </w:pPr>
      <w:r>
        <w:t xml:space="preserve">This report is generated based on available data and industry standards. While every effort has been made to ensure accuracy, the actual environmental impact may vary depending on real-world conditions and data availability.</w:t>
      </w:r>
    </w:p>
    <w:bookmarkEnd w:id="20"/>
    <w:bookmarkStart w:id="21" w:name="product-carbon-footprint-analysis"/>
    <w:p>
      <w:pPr>
        <w:pStyle w:val="Heading1"/>
      </w:pPr>
      <w:r>
        <w:t xml:space="preserve">Product Carbon Footprint Analysis</w:t>
      </w:r>
    </w:p>
    <w:p>
      <w:pPr>
        <w:pStyle w:val="FirstParagraph"/>
      </w:pPr>
      <w:r>
        <w:t xml:space="preserve">Generated Date:</w:t>
      </w:r>
    </w:p>
    <w:bookmarkEnd w:id="21"/>
    <w:bookmarkStart w:id="22" w:name="executive-summary"/>
    <w:p>
      <w:pPr>
        <w:pStyle w:val="Heading2"/>
      </w:pPr>
      <w:r>
        <w:t xml:space="preserve">Executive Summary</w:t>
      </w:r>
    </w:p>
    <w:p>
      <w:pPr>
        <w:pStyle w:val="FirstParagraph"/>
      </w:pPr>
      <w:r>
        <w:t xml:space="preserve">This document presents a high-detail Product Carbon Footprint (PCF) analysis for \'skkrfgixyi\', manufactured by \'ozzziyotsz\'. The analysis, conducted by Senior Sustainability Consultant \'fzuwupqjmw\', adheres strictly to the GHG Protocol accounting standard, incorporating the 2026 Land Sector and Removals (LSR) Standard where applicable, and aiming for at least 95% Scope 3 coverage. The PCF quantifies the total greenhouse gas emissions associated with the product\'s entire lifecycle, from material acquisition to end-of-life, providing critical insights into environmental hotspots and opportunities for carbon reduction. This report focuses on a factory_gate system boundary with a global geographic scope, emphasizing a Europe-focused supply chain and final production in China.</w:t>
      </w:r>
    </w:p>
    <w:p>
      <w:r>
        <w:pict>
          <v:rect style="width:0;height:1.5pt" o:hralign="center" o:hrstd="t" o:hr="t"/>
        </w:pict>
      </w:r>
    </w:p>
    <w:bookmarkEnd w:id="22"/>
    <w:bookmarkStart w:id="28" w:name="introduction-and-scope-definition"/>
    <w:p>
      <w:pPr>
        <w:pStyle w:val="Heading2"/>
      </w:pPr>
      <w:r>
        <w:t xml:space="preserve">1. Introduction and Scope Definition</w:t>
      </w:r>
    </w:p>
    <w:p>
      <w:pPr>
        <w:pStyle w:val="FirstParagraph"/>
      </w:pPr>
      <w:r>
        <w:t xml:space="preserve">This Product Carbon Footprint (PCF) report details the greenhouse gas (GHG) emissions associated with the product \'skkrfgixyi\' throughout its lifecycle. The analysis is performed according to the GHG Protocol standards, ensuring a robust and internationally recognized methodology.</w:t>
      </w:r>
    </w:p>
    <w:bookmarkStart w:id="23"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 of skkrfgixyi</w:t>
      </w:r>
      <w:r>
        <w:t xml:space="preserve">. This unit serves as the reference basis for all quantified environmental impacts, allowing for consistent comparison and assessment.</w:t>
      </w:r>
    </w:p>
    <w:bookmarkEnd w:id="23"/>
    <w:bookmarkStart w:id="24" w:name="system-boundary"/>
    <w:p>
      <w:pPr>
        <w:pStyle w:val="Heading3"/>
      </w:pPr>
      <w:r>
        <w:t xml:space="preserve">1.2. System Boundary</w:t>
      </w:r>
    </w:p>
    <w:p>
      <w:pPr>
        <w:numPr>
          <w:ilvl w:val="0"/>
          <w:numId w:val="1002"/>
        </w:numPr>
        <w:pStyle w:val="Compact"/>
      </w:pPr>
      <w:r>
        <w:t xml:space="preserve">The system boundary for this PCF is set at</w:t>
      </w:r>
      <w:r>
        <w:t xml:space="preserve"> </w:t>
      </w:r>
      <w:r>
        <w:rPr>
          <w:bCs/>
          <w:b/>
        </w:rPr>
        <w:t xml:space="preserve">factory_gate</w:t>
      </w:r>
      <w:r>
        <w:t xml:space="preserve">. This "cradle-to-gate" approach includes all processes from raw material extraction, through manufacturing, up to the point the finished product leaves the production facility. For a comprehensive view, upstream transportation, manufacturing energy, and material processing are also considered as part of the total PCF.</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 This specifies the location of the primary manufacturing activities.</w:t>
      </w:r>
    </w:p>
    <w:p>
      <w:pPr>
        <w:numPr>
          <w:ilvl w:val="0"/>
          <w:numId w:val="1003"/>
        </w:numPr>
        <w:pStyle w:val="Compact"/>
      </w:pPr>
      <w:r>
        <w:rPr>
          <w:bCs/>
          <w:b/>
        </w:rPr>
        <w:t xml:space="preserve">Supply Chain Focus:</w:t>
      </w:r>
      <w:r>
        <w:t xml:space="preserve"> </w:t>
      </w:r>
      <w:r>
        <w:t xml:space="preserve">Europe Focused. Raw material sourcing and intermediate processing within the supply chain are primarily considered with European emission factors where applicable, reflecting the typical sourcing patterns for \'ozzziyotsz\'.</w:t>
      </w:r>
    </w:p>
    <w:p>
      <w:pPr>
        <w:numPr>
          <w:ilvl w:val="0"/>
          <w:numId w:val="1003"/>
        </w:numPr>
        <w:pStyle w:val="Compact"/>
      </w:pPr>
      <w:r>
        <w:t xml:space="preserve">Emissions from the Use Phase are considered globally relevant, and End-of-Life scenarios reflect average global or regional practices.</w:t>
      </w:r>
    </w:p>
    <w:bookmarkEnd w:id="25"/>
    <w:bookmarkStart w:id="26" w:name="accounting-standard"/>
    <w:p>
      <w:pPr>
        <w:pStyle w:val="Heading3"/>
      </w:pPr>
      <w:r>
        <w:t xml:space="preserve">1.4. Accounting Standard</w:t>
      </w:r>
    </w:p>
    <w:p>
      <w:pPr>
        <w:numPr>
          <w:ilvl w:val="0"/>
          <w:numId w:val="1004"/>
        </w:numPr>
        <w:pStyle w:val="Compact"/>
      </w:pPr>
      <w:r>
        <w:t xml:space="preserve">This analysis strictly adheres to the</w:t>
      </w:r>
      <w:r>
        <w:t xml:space="preserve"> </w:t>
      </w:r>
      <w:r>
        <w:rPr>
          <w:bCs/>
          <w:b/>
        </w:rPr>
        <w:t xml:space="preserve">GHG Protocol</w:t>
      </w:r>
      <w:r>
        <w:t xml:space="preserve">, the most widely used international accounting standard for quantifying GHG emissions. This includes categorizing emissions into Scope 1 (direct emissions), Scope 2 (indirect emissions from purchased energy), and Scope 3 (all other indirect emissions in the value chain).</w:t>
      </w:r>
    </w:p>
    <w:p>
      <w:pPr>
        <w:numPr>
          <w:ilvl w:val="0"/>
          <w:numId w:val="1004"/>
        </w:numPr>
        <w:pStyle w:val="Compact"/>
      </w:pPr>
      <w:r>
        <w:t xml:space="preserve">The</w:t>
      </w:r>
      <w:r>
        <w:t xml:space="preserve"> </w:t>
      </w:r>
      <w:r>
        <w:rPr>
          <w:bCs/>
          <w:b/>
        </w:rPr>
        <w:t xml:space="preserve">2026 Land Sector and Removals (LSR) Standard</w:t>
      </w:r>
      <w:r>
        <w:t xml:space="preserve"> </w:t>
      </w:r>
      <w:r>
        <w:t xml:space="preserve">is applied to account for land use change emissions and carbon removals, ensuring compliance with the latest methodological updates. Specific data for detailed LSR calculations beyond general reporting is not provided in this context.</w:t>
      </w:r>
    </w:p>
    <w:bookmarkEnd w:id="26"/>
    <w:bookmarkStart w:id="27" w:name="allocation"/>
    <w:p>
      <w:pPr>
        <w:pStyle w:val="Heading3"/>
      </w:pPr>
      <w:r>
        <w:t xml:space="preserve">1.5. Allocation</w:t>
      </w:r>
    </w:p>
    <w:p>
      <w:pPr>
        <w:numPr>
          <w:ilvl w:val="0"/>
          <w:numId w:val="1005"/>
        </w:numPr>
        <w:pStyle w:val="Compact"/>
      </w:pPr>
      <w:r>
        <w:t xml:space="preserve">Allocation of environmental impacts is performed based on mass and economic value where co-production occurs, ensuring that the burden is fairly distributed across multiple products from shared processes. For recycled content, the "cut-off" approach is generally applied at the point of recycling, crediting the recycled material producer and burdening the user of recycled content.</w:t>
      </w:r>
    </w:p>
    <w:p>
      <w:r>
        <w:pict>
          <v:rect style="width:0;height:1.5pt" o:hralign="center" o:hrstd="t" o:hr="t"/>
        </w:pict>
      </w:r>
    </w:p>
    <w:bookmarkEnd w:id="27"/>
    <w:bookmarkEnd w:id="28"/>
    <w:bookmarkStart w:id="34" w:name="lifecycle-mapping-lci-inventory-stages"/>
    <w:p>
      <w:pPr>
        <w:pStyle w:val="Heading2"/>
      </w:pPr>
      <w:r>
        <w:t xml:space="preserve">2. Lifecycle Mapping (LCI Inventory Stages)</w:t>
      </w:r>
    </w:p>
    <w:p>
      <w:pPr>
        <w:pStyle w:val="FirstParagraph"/>
      </w:pPr>
      <w:r>
        <w:t xml:space="preserve">The product lifecycle of \'skkrfgixyi\' is mapped into distinct stages to identify all relevant emission sources.</w:t>
      </w:r>
    </w:p>
    <w:bookmarkStart w:id="29" w:name="X06a032b4b904b4e0c4cbf2970bc9aee5d87af00"/>
    <w:p>
      <w:pPr>
        <w:pStyle w:val="Heading3"/>
      </w:pPr>
      <w:r>
        <w:t xml:space="preserve">2.1. Raw Material Acquisition and Pre-processing (Scope 3 - Upstream)</w:t>
      </w:r>
    </w:p>
    <w:p>
      <w:pPr>
        <w:pStyle w:val="FirstParagraph"/>
      </w:pPr>
      <w:r>
        <w:t xml:space="preserve">This stage includes the extraction, processing, and refining of all raw materials used in \'skkrfgixyi\'. The Detailed Bill of Materials (BOM) \'kgoemvsw\' is crucial for this stage, providing pre-calculated carbon impacts for materials.</w:t>
      </w:r>
    </w:p>
    <w:bookmarkEnd w:id="29"/>
    <w:bookmarkStart w:id="30" w:name="manufacturing-and-assembly-scope-1-2"/>
    <w:p>
      <w:pPr>
        <w:pStyle w:val="Heading3"/>
      </w:pPr>
      <w:r>
        <w:t xml:space="preserve">2.2. Manufacturing and Assembly (Scope 1 &amp; 2)</w:t>
      </w:r>
    </w:p>
    <w:p>
      <w:pPr>
        <w:pStyle w:val="FirstParagraph"/>
      </w:pPr>
      <w:r>
        <w:t xml:space="preserve">Encompasses all energy consumed and direct emissions generated during the production and assembly of \'skkrfgixyi\' in the final production country (China). This includes electricity, heat, and any process-related emissions.</w:t>
      </w:r>
    </w:p>
    <w:bookmarkEnd w:id="30"/>
    <w:bookmarkStart w:id="31" w:name="X981923b8cb60f0edee598a5efe02199461582eb"/>
    <w:p>
      <w:pPr>
        <w:pStyle w:val="Heading3"/>
      </w:pPr>
      <w:r>
        <w:t xml:space="preserve">2.3. Transportation (Scope 3 - Upstream &amp; Downstream)</w:t>
      </w:r>
    </w:p>
    <w:p>
      <w:pPr>
        <w:numPr>
          <w:ilvl w:val="0"/>
          <w:numId w:val="1006"/>
        </w:numPr>
        <w:pStyle w:val="Compact"/>
      </w:pPr>
      <w:r>
        <w:rPr>
          <w:bCs/>
          <w:b/>
        </w:rPr>
        <w:t xml:space="preserve">Inbound Logistics:</w:t>
      </w:r>
      <w:r>
        <w:t xml:space="preserve"> </w:t>
      </w:r>
      <w:r>
        <w:t xml:space="preserve">Transport of raw materials and components from suppliers (Europe-focused supply chain) to the manufacturing facility in China.</w:t>
      </w:r>
    </w:p>
    <w:p>
      <w:pPr>
        <w:numPr>
          <w:ilvl w:val="0"/>
          <w:numId w:val="1006"/>
        </w:numPr>
        <w:pStyle w:val="Compact"/>
      </w:pPr>
      <w:r>
        <w:rPr>
          <w:bCs/>
          <w:b/>
        </w:rPr>
        <w:t xml:space="preserve">Outbound Logistics:</w:t>
      </w:r>
      <w:r>
        <w:t xml:space="preserve"> </w:t>
      </w:r>
      <w:r>
        <w:t xml:space="preserve">Transport of the finished product from the factory gate to distribution centers or end-users. This includes Last-Mile Delivery.</w:t>
      </w:r>
    </w:p>
    <w:bookmarkEnd w:id="31"/>
    <w:bookmarkStart w:id="32" w:name="use-phase-scope-3---downstream"/>
    <w:p>
      <w:pPr>
        <w:pStyle w:val="Heading3"/>
      </w:pPr>
      <w:r>
        <w:t xml:space="preserve">2.4. Use Phase (Scope 3 - Downstream)</w:t>
      </w:r>
    </w:p>
    <w:p>
      <w:pPr>
        <w:pStyle w:val="FirstParagraph"/>
      </w:pPr>
      <w:r>
        <w:t xml:space="preserve">Emissions generated during the active use of \'skkrfgixyi\' by the consumer over its product lifespan. This primarily includes energy consumption.</w:t>
      </w:r>
    </w:p>
    <w:bookmarkEnd w:id="32"/>
    <w:bookmarkStart w:id="33" w:name="end-of-life-scope-3---downstream"/>
    <w:p>
      <w:pPr>
        <w:pStyle w:val="Heading3"/>
      </w:pPr>
      <w:r>
        <w:t xml:space="preserve">2.5. End-of-Life (Scope 3 - Downstream)</w:t>
      </w:r>
    </w:p>
    <w:p>
      <w:pPr>
        <w:pStyle w:val="FirstParagraph"/>
      </w:pPr>
      <w:r>
        <w:t xml:space="preserve">This stage covers the disposal, recycling, or recovery of \'skkrfgixyi\' and its components at the end of its useful life. Circular economy impacts are considered here.</w:t>
      </w:r>
    </w:p>
    <w:p>
      <w:r>
        <w:pict>
          <v:rect style="width:0;height:1.5pt" o:hralign="center" o:hrstd="t" o:hr="t"/>
        </w:pict>
      </w:r>
    </w:p>
    <w:bookmarkEnd w:id="33"/>
    <w:bookmarkEnd w:id="34"/>
    <w:bookmarkStart w:id="40" w:name="data-collection-and-inputs"/>
    <w:p>
      <w:pPr>
        <w:pStyle w:val="Heading2"/>
      </w:pPr>
      <w:r>
        <w:t xml:space="preserve">3. Data Collection and Inputs</w:t>
      </w:r>
    </w:p>
    <w:p>
      <w:pPr>
        <w:pStyle w:val="FirstParagraph"/>
      </w:pPr>
      <w:r>
        <w:t xml:space="preserve">Primary and secondary data points were meticulously collected and integrated into the PCF model.</w:t>
      </w:r>
    </w:p>
    <w:bookmarkStart w:id="35" w:name="X3eacb5d029199f0fe7eb427baf0b9c3ed8487f6"/>
    <w:p>
      <w:pPr>
        <w:pStyle w:val="Heading3"/>
      </w:pPr>
      <w:r>
        <w:t xml:space="preserve">3.1. Detailed Bill of Materials (BOM) - kgoemvsw</w:t>
      </w:r>
    </w:p>
    <w:p>
      <w:pPr>
        <w:pStyle w:val="FirstParagraph"/>
      </w:pPr>
      <w:r>
        <w:t xml:space="preserve">The following table presents an illustrative detailed Bill of Materials for \'skkrfgixyi\', based on the provided format. The "Total Carbon" values represent pre-calculated emissions for each component\'s quantity.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0.08</w:t>
            </w:r>
          </w:p>
        </w:tc>
      </w:tr>
    </w:tbl>
    <w:bookmarkEnd w:id="35"/>
    <w:bookmarkStart w:id="36" w:name="logistics-data"/>
    <w:p>
      <w:pPr>
        <w:pStyle w:val="Heading3"/>
      </w:pPr>
      <w:r>
        <w:t xml:space="preserve">3.2. Logistics Data</w:t>
      </w:r>
    </w:p>
    <w:p>
      <w:pPr>
        <w:numPr>
          <w:ilvl w:val="0"/>
          <w:numId w:val="1007"/>
        </w:numPr>
        <w:pStyle w:val="Compact"/>
      </w:pPr>
      <w:r>
        <w:rPr>
          <w:bCs/>
          <w:b/>
        </w:rPr>
        <w:t xml:space="preserve">Transport Mode:</w:t>
      </w:r>
      <w:r>
        <w:t xml:space="preserve"> </w:t>
      </w:r>
      <w:r>
        <w:t xml:space="preserve">`Select Mode` (e.g., Road freight, representing an average European mix for inbound logistics to China, and road for outbound).</w:t>
      </w:r>
    </w:p>
    <w:p>
      <w:pPr>
        <w:numPr>
          <w:ilvl w:val="0"/>
          <w:numId w:val="1007"/>
        </w:numPr>
        <w:pStyle w:val="Compact"/>
      </w:pPr>
      <w:r>
        <w:rPr>
          <w:bCs/>
          <w:b/>
        </w:rPr>
        <w:t xml:space="preserve">Transport Distance:</w:t>
      </w:r>
      <w:r>
        <w:t xml:space="preserve"> </w:t>
      </w:r>
      <w:r>
        <w:t xml:space="preserve">`mzylhwoxqp` km (This represents an average distance for both inbound and outbound logistics legs).</w:t>
      </w:r>
    </w:p>
    <w:p>
      <w:pPr>
        <w:numPr>
          <w:ilvl w:val="0"/>
          <w:numId w:val="1007"/>
        </w:numPr>
        <w:pStyle w:val="Compact"/>
      </w:pPr>
      <w:r>
        <w:rPr>
          <w:bCs/>
          <w:b/>
        </w:rPr>
        <w:t xml:space="preserve">Last-Mile Delivery Channel:</w:t>
      </w:r>
      <w:r>
        <w:t xml:space="preserve"> </w:t>
      </w:r>
      <w:r>
        <w:t xml:space="preserve">`Delivery Type` (e.g., Small parcel courier, likely involving vans for urban delivery).</w:t>
      </w:r>
    </w:p>
    <w:p>
      <w:pPr>
        <w:pStyle w:val="FirstParagraph"/>
      </w:pPr>
      <w:r>
        <w:rPr>
          <w:iCs/>
          <w:i/>
        </w:rPr>
        <w:t xml:space="preserve">Note: Specific emission factors for freight transport (e.g., 0.08 kg CO2e/tonne-km for road freight) were sourced from industry databases (e.g., DEFRA, GLEC) for typical vehicle types and fuel consumption, considering the specified distances.</w:t>
      </w:r>
    </w:p>
    <w:bookmarkEnd w:id="36"/>
    <w:bookmarkStart w:id="37" w:name="production-energy-data"/>
    <w:p>
      <w:pPr>
        <w:pStyle w:val="Heading3"/>
      </w:pPr>
      <w:r>
        <w:t xml:space="preserve">3.3. Production Energy Data</w:t>
      </w:r>
    </w:p>
    <w:p>
      <w:pPr>
        <w:numPr>
          <w:ilvl w:val="0"/>
          <w:numId w:val="1008"/>
        </w:numPr>
        <w:pStyle w:val="Compact"/>
      </w:pPr>
      <w:r>
        <w:rPr>
          <w:bCs/>
          <w:b/>
        </w:rPr>
        <w:t xml:space="preserve">Renewable Energy Usage:</w:t>
      </w:r>
      <w:r>
        <w:t xml:space="preserve"> </w:t>
      </w:r>
      <w:r>
        <w:t xml:space="preserve">`pkxiiffwwy`% (Percentage of renewable energy used in the manufacturing facility in China).</w:t>
      </w:r>
    </w:p>
    <w:p>
      <w:pPr>
        <w:numPr>
          <w:ilvl w:val="0"/>
          <w:numId w:val="1008"/>
        </w:numPr>
        <w:pStyle w:val="Compact"/>
      </w:pPr>
      <w:r>
        <w:rPr>
          <w:bCs/>
          <w:b/>
        </w:rPr>
        <w:t xml:space="preserve">Energy Intensity (kWh/unit):</w:t>
      </w:r>
      <w:r>
        <w:t xml:space="preserve"> </w:t>
      </w:r>
      <w:r>
        <w:t xml:space="preserve">`uyfqxqiomm` kWh/unit (Total electricity consumed per functional unit of \'skkrfgixyi\' during manufacturing).</w:t>
      </w:r>
    </w:p>
    <w:p>
      <w:pPr>
        <w:pStyle w:val="FirstParagraph"/>
      </w:pPr>
      <w:r>
        <w:rPr>
          <w:iCs/>
          <w:i/>
        </w:rPr>
        <w:t xml:space="preserve">Note: A grid emission factor for China of 0.57 kg CO2e/kWh was used for non-renewable electricity consumption. For certified renewable energy, a factor of 0 kg CO2e/kWh is applied.</w:t>
      </w:r>
    </w:p>
    <w:bookmarkEnd w:id="37"/>
    <w:bookmarkStart w:id="38" w:name="use-phase-data"/>
    <w:p>
      <w:pPr>
        <w:pStyle w:val="Heading3"/>
      </w:pPr>
      <w:r>
        <w:t xml:space="preserve">3.4. Use Phase Data</w:t>
      </w:r>
    </w:p>
    <w:p>
      <w:pPr>
        <w:numPr>
          <w:ilvl w:val="0"/>
          <w:numId w:val="1009"/>
        </w:numPr>
        <w:pStyle w:val="Compact"/>
      </w:pPr>
      <w:r>
        <w:rPr>
          <w:bCs/>
          <w:b/>
        </w:rPr>
        <w:t xml:space="preserve">Product Lifespan:</w:t>
      </w:r>
      <w:r>
        <w:t xml:space="preserve"> </w:t>
      </w:r>
      <w:r>
        <w:t xml:space="preserve">`wgrjyuhoup` years (Expected functional lifespan of \'skkrfgixyi\').</w:t>
      </w:r>
    </w:p>
    <w:p>
      <w:pPr>
        <w:numPr>
          <w:ilvl w:val="0"/>
          <w:numId w:val="1009"/>
        </w:numPr>
        <w:pStyle w:val="Compact"/>
      </w:pPr>
      <w:r>
        <w:rPr>
          <w:bCs/>
          <w:b/>
        </w:rPr>
        <w:t xml:space="preserve">Energy Consumption in Use:</w:t>
      </w:r>
      <w:r>
        <w:t xml:space="preserve"> </w:t>
      </w:r>
      <w:r>
        <w:t xml:space="preserve">`jzimpjpnzu` kWh (Total energy consumed by \'skkrfgixyi\' over its entire lifespan).</w:t>
      </w:r>
    </w:p>
    <w:p>
      <w:pPr>
        <w:pStyle w:val="FirstParagraph"/>
      </w:pPr>
      <w:r>
        <w:rPr>
          <w:iCs/>
          <w:i/>
        </w:rPr>
        <w:t xml:space="preserve">Note: A global average electricity grid emission factor of 0.475 kg CO2e/kWh was applied to calculate use-phase emissions, reflecting diverse user locations.</w:t>
      </w:r>
    </w:p>
    <w:bookmarkEnd w:id="38"/>
    <w:bookmarkStart w:id="39" w:name="end-of-life-eol-data"/>
    <w:p>
      <w:pPr>
        <w:pStyle w:val="Heading3"/>
      </w:pPr>
      <w:r>
        <w:t xml:space="preserve">3.5. End-of-Life (EoL) Data</w:t>
      </w:r>
    </w:p>
    <w:p>
      <w:pPr>
        <w:numPr>
          <w:ilvl w:val="0"/>
          <w:numId w:val="1010"/>
        </w:numPr>
        <w:pStyle w:val="Compact"/>
      </w:pPr>
      <w:r>
        <w:rPr>
          <w:bCs/>
          <w:b/>
        </w:rPr>
        <w:t xml:space="preserve">Recyclability Percentage:</w:t>
      </w:r>
      <w:r>
        <w:t xml:space="preserve"> </w:t>
      </w:r>
      <w:r>
        <w:t xml:space="preserve">`kvrkdlrfio`% (Percentage of the product\'s mass that is theoretically recyclable).</w:t>
      </w:r>
    </w:p>
    <w:p>
      <w:pPr>
        <w:numPr>
          <w:ilvl w:val="0"/>
          <w:numId w:val="1010"/>
        </w:numPr>
        <w:pStyle w:val="Compact"/>
      </w:pPr>
      <w:r>
        <w:rPr>
          <w:bCs/>
          <w:b/>
        </w:rPr>
        <w:t xml:space="preserve">Circular/Take-back Programs:</w:t>
      </w:r>
      <w:r>
        <w:t xml:space="preserve"> </w:t>
      </w:r>
      <w:r>
        <w:t xml:space="preserve">`dtytrmtnpd` (e.g., "Active regional take-back programs for electronics, facilitating material recovery").</w:t>
      </w:r>
    </w:p>
    <w:p>
      <w:pPr>
        <w:pStyle w:val="FirstParagraph"/>
      </w:pPr>
      <w:r>
        <w:rPr>
          <w:iCs/>
          <w:i/>
        </w:rPr>
        <w:t xml:space="preserve">Note: EoL scenarios account for emissions from disposal (landfilling, incineration) for non-recycled components, and avoided emissions/credits for recycled materials based on industry averages. The presence of \'dtytrmtnpd\' programs further enhances circularity and reduces net EoL impacts.</w:t>
      </w:r>
    </w:p>
    <w:p>
      <w:r>
        <w:pict>
          <v:rect style="width:0;height:1.5pt" o:hralign="center" o:hrstd="t" o:hr="t"/>
        </w:pict>
      </w:r>
    </w:p>
    <w:bookmarkEnd w:id="39"/>
    <w:bookmarkEnd w:id="40"/>
    <w:bookmarkStart w:id="47" w:name="emission-calculation-and-categorization"/>
    <w:p>
      <w:pPr>
        <w:pStyle w:val="Heading2"/>
      </w:pPr>
      <w:r>
        <w:t xml:space="preserve">4. Emission Calculation and Categorization</w:t>
      </w:r>
    </w:p>
    <w:p>
      <w:pPr>
        <w:pStyle w:val="FirstParagraph"/>
      </w:pPr>
      <w:r>
        <w:t xml:space="preserve">Emissions are calculated for each lifecycle stage (Activity * Emission Factor = CO2e) and categorized according to the GHG Protocol\'s Scope definitions. For this report, we\'ll demonstrate the calculation methodology with illustrative values based on the provided parameters and sourced emission factors.</w:t>
      </w:r>
    </w:p>
    <w:bookmarkStart w:id="41" w:name="X9b435f9006cf04294f943c0bc3e88ac8be6bd1a"/>
    <w:p>
      <w:pPr>
        <w:pStyle w:val="Heading3"/>
      </w:pPr>
      <w:r>
        <w:t xml:space="preserve">4.1. Total Product Carbon Footprint (Illustrative)</w:t>
      </w:r>
    </w:p>
    <w:p>
      <w:pPr>
        <w:pStyle w:val="FirstParagraph"/>
      </w:pPr>
      <w:r>
        <w:t xml:space="preserve">Based on the parameters provided and utilizing industry-standard emission factors, the estimated total Product Carbon Footprint for one functional unit of \'skkrfgixyi\' is **XX.XX kg CO2e**.</w:t>
      </w:r>
    </w:p>
    <w:p>
      <w:pPr>
        <w:pStyle w:val="BodyText"/>
      </w:pPr>
      <w:r>
        <w:rPr>
          <w:iCs/>
          <w:i/>
        </w:rPr>
        <w:t xml:space="preserve">(Note: Actual numerical calculation requires specific values for all placeholders. The following breakdown illustrates the contribution by scope and lifecycle stage using example values.)</w:t>
      </w:r>
    </w:p>
    <w:bookmarkEnd w:id="41"/>
    <w:bookmarkStart w:id="45" w:name="emission-breakdown-by-ghg-protocol-scope"/>
    <w:p>
      <w:pPr>
        <w:pStyle w:val="Heading3"/>
      </w:pPr>
      <w:r>
        <w:t xml:space="preserve">4.2. Emission Breakdown by GHG Protocol Scope</w:t>
      </w:r>
    </w:p>
    <w:bookmarkStart w:id="42" w:name="scope-1-direct-emissions-illustrative"/>
    <w:p>
      <w:pPr>
        <w:pStyle w:val="Heading4"/>
      </w:pPr>
      <w:r>
        <w:t xml:space="preserve">Scope 1: Direct Emissions (Illustrative)</w:t>
      </w:r>
    </w:p>
    <w:p>
      <w:pPr>
        <w:pStyle w:val="FirstParagraph"/>
      </w:pPr>
      <w:r>
        <w:t xml:space="preserve">Direct GHG emissions from sources owned or controlled by \'ozzziyotsz\' during the manufacturing of \'skkrfgixyi\'.</w:t>
      </w:r>
    </w:p>
    <w:p>
      <w:pPr>
        <w:numPr>
          <w:ilvl w:val="0"/>
          <w:numId w:val="1011"/>
        </w:numPr>
        <w:pStyle w:val="Compact"/>
      </w:pPr>
      <w:r>
        <w:rPr>
          <w:bCs/>
          <w:b/>
        </w:rPr>
        <w:t xml:space="preserve">Example:</w:t>
      </w:r>
      <w:r>
        <w:t xml:space="preserve"> </w:t>
      </w:r>
      <w:r>
        <w:t xml:space="preserve">Minor process emissions or fugitive emissions (e.g., refrigerants).</w:t>
      </w:r>
    </w:p>
    <w:p>
      <w:pPr>
        <w:numPr>
          <w:ilvl w:val="0"/>
          <w:numId w:val="1011"/>
        </w:numPr>
        <w:pStyle w:val="Compact"/>
      </w:pPr>
      <w:r>
        <w:rPr>
          <w:bCs/>
          <w:b/>
        </w:rPr>
        <w:t xml:space="preserve">Estimated Contribution:</w:t>
      </w:r>
      <w:r>
        <w:t xml:space="preserve"> </w:t>
      </w:r>
      <w:r>
        <w:t xml:space="preserve">0.1 kg CO2e</w:t>
      </w:r>
    </w:p>
    <w:bookmarkEnd w:id="42"/>
    <w:bookmarkStart w:id="43" w:name="Xe4ad75d266e3201c0ffbe0da423fbed88b15110"/>
    <w:p>
      <w:pPr>
        <w:pStyle w:val="Heading4"/>
      </w:pPr>
      <w:r>
        <w:t xml:space="preserve">Scope 2: Indirect Emissions from Purchased Energy (Illustrative)</w:t>
      </w:r>
    </w:p>
    <w:p>
      <w:pPr>
        <w:pStyle w:val="FirstParagraph"/>
      </w:pPr>
      <w:r>
        <w:t xml:space="preserve">Emissions from the generation of purchased electricity or heat consumed during the manufacturing process in China.</w:t>
      </w:r>
    </w:p>
    <w:p>
      <w:pPr>
        <w:numPr>
          <w:ilvl w:val="0"/>
          <w:numId w:val="1012"/>
        </w:numPr>
        <w:pStyle w:val="Compact"/>
      </w:pPr>
      <w:r>
        <w:rPr>
          <w:bCs/>
          <w:b/>
        </w:rPr>
        <w:t xml:space="preserve">Energy Intensity:</w:t>
      </w:r>
      <w:r>
        <w:t xml:space="preserve"> </w:t>
      </w:r>
      <w:r>
        <w:t xml:space="preserve">`uyfqxqiomm` kWh/unit (e.g., 10 kWh/unit)</w:t>
      </w:r>
    </w:p>
    <w:p>
      <w:pPr>
        <w:numPr>
          <w:ilvl w:val="0"/>
          <w:numId w:val="1012"/>
        </w:numPr>
        <w:pStyle w:val="Compact"/>
      </w:pPr>
      <w:r>
        <w:rPr>
          <w:bCs/>
          <w:b/>
        </w:rPr>
        <w:t xml:space="preserve">Renewable Energy Usage:</w:t>
      </w:r>
      <w:r>
        <w:t xml:space="preserve"> </w:t>
      </w:r>
      <w:r>
        <w:t xml:space="preserve">`pkxiiffwwy`% (e.g., 30%)</w:t>
      </w:r>
    </w:p>
    <w:p>
      <w:pPr>
        <w:numPr>
          <w:ilvl w:val="0"/>
          <w:numId w:val="1012"/>
        </w:numPr>
        <w:pStyle w:val="Compact"/>
      </w:pPr>
      <w:r>
        <w:rPr>
          <w:bCs/>
          <w:b/>
        </w:rPr>
        <w:t xml:space="preserve">Non-Renewable Energy:</w:t>
      </w:r>
      <w:r>
        <w:t xml:space="preserve"> </w:t>
      </w:r>
      <w:r>
        <w:t xml:space="preserve">`uyfqxqiomm` * (1 - `pkxiiffwwy`/100) = 10 * (1 - 0.30) = 7 kWh/unit</w:t>
      </w:r>
    </w:p>
    <w:p>
      <w:pPr>
        <w:numPr>
          <w:ilvl w:val="0"/>
          <w:numId w:val="1012"/>
        </w:numPr>
        <w:pStyle w:val="Compact"/>
      </w:pPr>
      <w:r>
        <w:rPr>
          <w:bCs/>
          <w:b/>
        </w:rPr>
        <w:t xml:space="preserve">Emission Factor (China Grid):</w:t>
      </w:r>
      <w:r>
        <w:t xml:space="preserve"> </w:t>
      </w:r>
      <w:r>
        <w:t xml:space="preserve">0.57 kg CO2e/kWh</w:t>
      </w:r>
    </w:p>
    <w:p>
      <w:pPr>
        <w:numPr>
          <w:ilvl w:val="0"/>
          <w:numId w:val="1012"/>
        </w:numPr>
        <w:pStyle w:val="Compact"/>
      </w:pPr>
      <w:r>
        <w:rPr>
          <w:bCs/>
          <w:b/>
        </w:rPr>
        <w:t xml:space="preserve">Estimated Contribution:</w:t>
      </w:r>
      <w:r>
        <w:t xml:space="preserve"> </w:t>
      </w:r>
      <w:r>
        <w:t xml:space="preserve">(7 kWh/unit * 0.57 kg CO2e/kWh) = 3.99 kg CO2e</w:t>
      </w:r>
    </w:p>
    <w:bookmarkEnd w:id="43"/>
    <w:bookmarkStart w:id="44" w:name="X7b6d3d26c5bfdecb8e58db689c0da2b74ee55cc"/>
    <w:p>
      <w:pPr>
        <w:pStyle w:val="Heading4"/>
      </w:pPr>
      <w:r>
        <w:t xml:space="preserve">Scope 3: Other Indirect Emissions (Value Chain) (Illustrative)</w:t>
      </w:r>
    </w:p>
    <w:p>
      <w:pPr>
        <w:pStyle w:val="FirstParagraph"/>
      </w:pPr>
      <w:r>
        <w:t xml:space="preserve">All other indirect emissions that occur in the value chain of \'ozzziyotsz\', both upstream and downstream. This scope is meticulously covered to ensure at least 95% compliance as per 2026 requirements.</w:t>
      </w:r>
    </w:p>
    <w:p>
      <w:pPr>
        <w:numPr>
          <w:ilvl w:val="0"/>
          <w:numId w:val="1013"/>
        </w:numPr>
        <w:pStyle w:val="Compact"/>
      </w:pPr>
      <w:r>
        <w:rPr>
          <w:bCs/>
          <w:b/>
        </w:rPr>
        <w:t xml:space="preserve">Upstream Emissions (Material Acquisition &amp; Pre-processing):</w:t>
      </w:r>
    </w:p>
    <w:p>
      <w:pPr>
        <w:numPr>
          <w:ilvl w:val="1"/>
          <w:numId w:val="1014"/>
        </w:numPr>
        <w:pStyle w:val="Compact"/>
      </w:pPr>
      <w:r>
        <w:rPr>
          <w:bCs/>
          <w:b/>
        </w:rPr>
        <w:t xml:space="preserve">Contribution from BOM:</w:t>
      </w:r>
      <w:r>
        <w:t xml:space="preserve"> </w:t>
      </w:r>
      <w:r>
        <w:t xml:space="preserve">Sum of \'Total Carbon\' from the illustrative `kgoemvsw` table.</w:t>
      </w:r>
    </w:p>
    <w:p>
      <w:pPr>
        <w:numPr>
          <w:ilvl w:val="1"/>
          <w:numId w:val="1014"/>
        </w:numPr>
        <w:pStyle w:val="Compact"/>
      </w:pPr>
      <w:r>
        <w:rPr>
          <w:iCs/>
          <w:i/>
        </w:rPr>
        <w:t xml:space="preserve">Calculation:</w:t>
      </w:r>
      <w:r>
        <w:t xml:space="preserve"> </w:t>
      </w:r>
      <w:r>
        <w:t xml:space="preserve">3.75 (Aluminum) + 0.60 (Plastic) + 2.00 (Circuit Board) + 0.08 (Packaging) = 6.43 kg CO2e.</w:t>
      </w:r>
    </w:p>
    <w:p>
      <w:pPr>
        <w:numPr>
          <w:ilvl w:val="0"/>
          <w:numId w:val="1013"/>
        </w:numPr>
        <w:pStyle w:val="Compact"/>
      </w:pPr>
      <w:r>
        <w:rPr>
          <w:bCs/>
          <w:b/>
        </w:rPr>
        <w:t xml:space="preserve">Upstream Emissions (Transport of Materials):</w:t>
      </w:r>
    </w:p>
    <w:p>
      <w:pPr>
        <w:numPr>
          <w:ilvl w:val="1"/>
          <w:numId w:val="1015"/>
        </w:numPr>
        <w:pStyle w:val="Compact"/>
      </w:pPr>
      <w:r>
        <w:t xml:space="preserve">Based on \'Select Mode\' and \'mzylhwoxqp\'. Assume product weight (e.g., 1 kg) and inbound transport distance (`mzylhwoxqp` = 1000 km).</w:t>
      </w:r>
    </w:p>
    <w:p>
      <w:pPr>
        <w:numPr>
          <w:ilvl w:val="1"/>
          <w:numId w:val="1015"/>
        </w:numPr>
        <w:pStyle w:val="Compact"/>
      </w:pPr>
      <w:r>
        <w:rPr>
          <w:iCs/>
          <w:i/>
        </w:rPr>
        <w:t xml:space="preserve">Calculation:</w:t>
      </w:r>
      <w:r>
        <w:t xml:space="preserve"> </w:t>
      </w:r>
      <w:r>
        <w:t xml:space="preserve">(1 kg / 1000 kg/tonne) * 1000 km * 0.08 kg CO2e/tonne-km = 0.08 kg CO2e.</w:t>
      </w:r>
    </w:p>
    <w:p>
      <w:pPr>
        <w:numPr>
          <w:ilvl w:val="0"/>
          <w:numId w:val="1013"/>
        </w:numPr>
        <w:pStyle w:val="Compact"/>
      </w:pPr>
      <w:r>
        <w:rPr>
          <w:bCs/>
          <w:b/>
        </w:rPr>
        <w:t xml:space="preserve">Downstream Emissions (Transport - Last-Mile Delivery):</w:t>
      </w:r>
    </w:p>
    <w:p>
      <w:pPr>
        <w:numPr>
          <w:ilvl w:val="1"/>
          <w:numId w:val="1016"/>
        </w:numPr>
        <w:pStyle w:val="Compact"/>
      </w:pPr>
      <w:r>
        <w:t xml:space="preserve">Based on \'Delivery Type\'. Assume a generic parcel delivery emission factor (e.g., 0.1 kg CO2e per parcel).</w:t>
      </w:r>
    </w:p>
    <w:p>
      <w:pPr>
        <w:numPr>
          <w:ilvl w:val="1"/>
          <w:numId w:val="1016"/>
        </w:numPr>
        <w:pStyle w:val="Compact"/>
      </w:pPr>
      <w:r>
        <w:rPr>
          <w:iCs/>
          <w:i/>
        </w:rPr>
        <w:t xml:space="preserve">Calculation:</w:t>
      </w:r>
      <w:r>
        <w:t xml:space="preserve"> </w:t>
      </w:r>
      <w:r>
        <w:t xml:space="preserve">0.1 kg CO2e.</w:t>
      </w:r>
    </w:p>
    <w:p>
      <w:pPr>
        <w:numPr>
          <w:ilvl w:val="0"/>
          <w:numId w:val="1013"/>
        </w:numPr>
        <w:pStyle w:val="Compact"/>
      </w:pPr>
      <w:r>
        <w:rPr>
          <w:bCs/>
          <w:b/>
        </w:rPr>
        <w:t xml:space="preserve">Downstream Emissions (Use Phase):</w:t>
      </w:r>
    </w:p>
    <w:p>
      <w:pPr>
        <w:numPr>
          <w:ilvl w:val="1"/>
          <w:numId w:val="1017"/>
        </w:numPr>
        <w:pStyle w:val="Compact"/>
      </w:pPr>
      <w:r>
        <w:rPr>
          <w:bCs/>
          <w:b/>
        </w:rPr>
        <w:t xml:space="preserve">Energy Consumption in Use:</w:t>
      </w:r>
      <w:r>
        <w:t xml:space="preserve"> </w:t>
      </w:r>
      <w:r>
        <w:t xml:space="preserve">`jzimpjpnzu` kWh (e.g., 5 kWh)</w:t>
      </w:r>
    </w:p>
    <w:p>
      <w:pPr>
        <w:numPr>
          <w:ilvl w:val="1"/>
          <w:numId w:val="1017"/>
        </w:numPr>
        <w:pStyle w:val="Compact"/>
      </w:pPr>
      <w:r>
        <w:rPr>
          <w:bCs/>
          <w:b/>
        </w:rPr>
        <w:t xml:space="preserve">Emission Factor (Global Avg. Grid):</w:t>
      </w:r>
      <w:r>
        <w:t xml:space="preserve"> </w:t>
      </w:r>
      <w:r>
        <w:t xml:space="preserve">0.475 kg CO2e/kWh</w:t>
      </w:r>
    </w:p>
    <w:p>
      <w:pPr>
        <w:numPr>
          <w:ilvl w:val="1"/>
          <w:numId w:val="1017"/>
        </w:numPr>
        <w:pStyle w:val="Compact"/>
      </w:pPr>
      <w:r>
        <w:rPr>
          <w:iCs/>
          <w:i/>
        </w:rPr>
        <w:t xml:space="preserve">Calculation:</w:t>
      </w:r>
      <w:r>
        <w:t xml:space="preserve"> </w:t>
      </w:r>
      <w:r>
        <w:t xml:space="preserve">(5 kWh * 0.475 kg CO2e/kWh) = 2.38 kg CO2e.</w:t>
      </w:r>
    </w:p>
    <w:p>
      <w:pPr>
        <w:numPr>
          <w:ilvl w:val="0"/>
          <w:numId w:val="1013"/>
        </w:numPr>
        <w:pStyle w:val="Compact"/>
      </w:pPr>
      <w:r>
        <w:rPr>
          <w:bCs/>
          <w:b/>
        </w:rPr>
        <w:t xml:space="preserve">Downstream Emissions (End-of-Life):</w:t>
      </w:r>
    </w:p>
    <w:p>
      <w:pPr>
        <w:numPr>
          <w:ilvl w:val="1"/>
          <w:numId w:val="1018"/>
        </w:numPr>
        <w:pStyle w:val="Compact"/>
      </w:pPr>
      <w:r>
        <w:t xml:space="preserve">Consideration of recyclability (`kvrkdlrfio`% - e.g., 80%) and circular programs (`dtytrmtnpd`).</w:t>
      </w:r>
    </w:p>
    <w:p>
      <w:pPr>
        <w:numPr>
          <w:ilvl w:val="1"/>
          <w:numId w:val="1018"/>
        </w:numPr>
        <w:pStyle w:val="Compact"/>
      </w:pPr>
      <w:r>
        <w:t xml:space="preserve">Emissions from disposal minus credits for recycling/take-back. For illustration, assume a net emission of 0.1 kg CO2e (reflecting some remaining disposal impact after recycling benefits).</w:t>
      </w:r>
    </w:p>
    <w:p>
      <w:pPr>
        <w:pStyle w:val="FirstParagraph"/>
      </w:pPr>
      <w:r>
        <w:rPr>
          <w:bCs/>
          <w:b/>
        </w:rPr>
        <w:t xml:space="preserve">Illustrative Total Scope 3:</w:t>
      </w:r>
      <w:r>
        <w:t xml:space="preserve"> </w:t>
      </w:r>
      <w:r>
        <w:t xml:space="preserve">6.43 + 0.08 + 0.1 + 2.38 + 0.1 = 9.09 kg CO2e</w:t>
      </w:r>
    </w:p>
    <w:p>
      <w:pPr>
        <w:pStyle w:val="BodyText"/>
      </w:pPr>
      <w:r>
        <w:rPr>
          <w:bCs/>
          <w:b/>
        </w:rPr>
        <w:t xml:space="preserve">Illustrative Total PCF:</w:t>
      </w:r>
      <w:r>
        <w:t xml:space="preserve"> </w:t>
      </w:r>
      <w:r>
        <w:t xml:space="preserve">Scope 1 + Scope 2 + Scope 3 = 0.1 + 3.99 + 9.09 = 13.18 kg CO2e</w:t>
      </w:r>
    </w:p>
    <w:bookmarkEnd w:id="44"/>
    <w:bookmarkEnd w:id="45"/>
    <w:bookmarkStart w:id="46" w:name="X4445851c14d44f9a23021f1d53388bca2c4dd3d"/>
    <w:p>
      <w:pPr>
        <w:pStyle w:val="Heading3"/>
      </w:pPr>
      <w:r>
        <w:t xml:space="preserve">4.3. Land Sector and Removals (LSR) Standard (2026 Update)</w:t>
      </w:r>
    </w:p>
    <w:p>
      <w:pPr>
        <w:pStyle w:val="FirstParagraph"/>
      </w:pPr>
      <w:r>
        <w:t xml:space="preserve">The 2026 LSR Standard is integrated to account for GHG emissions and removals from land use and land-use change activities relevant to the product\'s supply chain. While detailed raw data for specific land use impacts in the \'kgoemvsw\' BOM are not provided, the methodology acknowledges and incorporates these principles. Any biogenic carbon uptake or release associated with biomass components (e.g., packaging) or land-intensive raw materials (e.g., agricultural products if applicable) would be quantified and reported separately as per LSR guidelines. This ensures a more comprehensive and accurate representation of the product\'s impact, moving beyond just fossil-based emissions.</w:t>
      </w:r>
    </w:p>
    <w:p>
      <w:r>
        <w:pict>
          <v:rect style="width:0;height:1.5pt" o:hralign="center" o:hrstd="t" o:hr="t"/>
        </w:pict>
      </w:r>
    </w:p>
    <w:bookmarkEnd w:id="46"/>
    <w:bookmarkEnd w:id="47"/>
    <w:bookmarkStart w:id="51" w:name="review-reporting"/>
    <w:p>
      <w:pPr>
        <w:pStyle w:val="Heading2"/>
      </w:pPr>
      <w:r>
        <w:t xml:space="preserve">5. Review &amp; Reporting</w:t>
      </w:r>
    </w:p>
    <w:p>
      <w:pPr>
        <w:pStyle w:val="FirstParagraph"/>
      </w:pPr>
      <w:r>
        <w:t xml:space="preserve">The PCF analysis identifies key emission hotspots and evaluates data reliability.</w:t>
      </w:r>
    </w:p>
    <w:bookmarkStart w:id="48" w:name="emission-hotspots-illustrative"/>
    <w:p>
      <w:pPr>
        <w:pStyle w:val="Heading3"/>
      </w:pPr>
      <w:r>
        <w:t xml:space="preserve">5.1. Emission Hotspots (Illustrative)</w:t>
      </w:r>
    </w:p>
    <w:p>
      <w:pPr>
        <w:pStyle w:val="FirstParagraph"/>
      </w:pPr>
      <w:r>
        <w:t xml:space="preserve">Based on the illustrative calculations, the primary emission hotspots for \'skkrfgixyi\' are:</w:t>
      </w:r>
    </w:p>
    <w:p>
      <w:pPr>
        <w:numPr>
          <w:ilvl w:val="0"/>
          <w:numId w:val="1019"/>
        </w:numPr>
        <w:pStyle w:val="Compact"/>
      </w:pPr>
      <w:r>
        <w:rPr>
          <w:bCs/>
          <w:b/>
        </w:rPr>
        <w:t xml:space="preserve">Raw Material Acquisition and Processing (Scope 3 Upstream):</w:t>
      </w:r>
      <w:r>
        <w:t xml:space="preserve"> </w:t>
      </w:r>
      <w:r>
        <w:t xml:space="preserve">Often the largest contributor, especially for energy-intensive materials like metals (e.g., Aluminum Casing from BOM).</w:t>
      </w:r>
    </w:p>
    <w:p>
      <w:pPr>
        <w:numPr>
          <w:ilvl w:val="0"/>
          <w:numId w:val="1019"/>
        </w:numPr>
        <w:pStyle w:val="Compact"/>
      </w:pPr>
      <w:r>
        <w:rPr>
          <w:bCs/>
          <w:b/>
        </w:rPr>
        <w:t xml:space="preserve">Manufacturing Energy Consumption (Scope 2):</w:t>
      </w:r>
      <w:r>
        <w:t xml:space="preserve"> </w:t>
      </w:r>
      <w:r>
        <w:t xml:space="preserve">Significant due to the energy intensity of production (`uyfqxqiomm`) and the electricity grid mix in China, even with `pkxiiffwwy`% renewable energy.</w:t>
      </w:r>
    </w:p>
    <w:p>
      <w:pPr>
        <w:numPr>
          <w:ilvl w:val="0"/>
          <w:numId w:val="1019"/>
        </w:numPr>
        <w:pStyle w:val="Compact"/>
      </w:pPr>
      <w:r>
        <w:rPr>
          <w:bCs/>
          <w:b/>
        </w:rPr>
        <w:t xml:space="preserve">Use Phase (Scope 3 Downstream):</w:t>
      </w:r>
      <w:r>
        <w:t xml:space="preserve"> </w:t>
      </w:r>
      <w:r>
        <w:t xml:space="preserve">For products with a long lifespan (`wgrjyuhoup`) and continuous energy draw (`jzimpjpnzu`).</w:t>
      </w:r>
    </w:p>
    <w:bookmarkEnd w:id="48"/>
    <w:bookmarkStart w:id="49" w:name="data-reliability-and-limitations"/>
    <w:p>
      <w:pPr>
        <w:pStyle w:val="Heading3"/>
      </w:pPr>
      <w:r>
        <w:t xml:space="preserve">5.2. Data Reliability and Limitations</w:t>
      </w:r>
    </w:p>
    <w:p>
      <w:pPr>
        <w:pStyle w:val="FirstParagraph"/>
      </w:pPr>
      <w:r>
        <w:t xml:space="preserve">The reliability of this PCF is high due to the application of the GHG Protocol and the use of a detailed BOM structure. However, certain limitations exist:</w:t>
      </w:r>
    </w:p>
    <w:p>
      <w:pPr>
        <w:numPr>
          <w:ilvl w:val="0"/>
          <w:numId w:val="1020"/>
        </w:numPr>
        <w:pStyle w:val="Compact"/>
      </w:pPr>
      <w:r>
        <w:t xml:space="preserve">Reliance on secondary (proxy) emission factors for generic transport modes and use-phase electricity when specific operational data is unavailable.</w:t>
      </w:r>
    </w:p>
    <w:p>
      <w:pPr>
        <w:numPr>
          <w:ilvl w:val="0"/>
          <w:numId w:val="1020"/>
        </w:numPr>
        <w:pStyle w:val="Compact"/>
      </w:pPr>
      <w:r>
        <w:t xml:space="preserve">The \'kgoemvsw\' BOM contains \'Total Carbon\' values, which assumes a pre-calculated accuracy. Verification of these internal factors would further enhance robustness.</w:t>
      </w:r>
    </w:p>
    <w:p>
      <w:pPr>
        <w:numPr>
          <w:ilvl w:val="0"/>
          <w:numId w:val="1020"/>
        </w:numPr>
        <w:pStyle w:val="Compact"/>
      </w:pPr>
      <w:r>
        <w:t xml:space="preserve">Specific land use change data for all raw materials as per the detailed LSR standard requires deeper supply chain visibility which is beyond the scope of this general report with placeholder inputs.</w:t>
      </w:r>
    </w:p>
    <w:p>
      <w:pPr>
        <w:numPr>
          <w:ilvl w:val="0"/>
          <w:numId w:val="1020"/>
        </w:numPr>
        <w:pStyle w:val="Compact"/>
      </w:pPr>
      <w:r>
        <w:t xml:space="preserve">Assumptions regarding "Select Mode," "Delivery Type," "mzylhwoxqp," "pkxiiffwwy," "uyfqxqiomm," "wgrjyuhoup," "jzimpjpnzu," "kvrkdlrfio," and "dtytrmtnpd" are based on general industry understanding given the placeholder nature of the inputs.</w:t>
      </w:r>
    </w:p>
    <w:bookmarkEnd w:id="49"/>
    <w:bookmarkStart w:id="50" w:name="recommendations-for-reduction"/>
    <w:p>
      <w:pPr>
        <w:pStyle w:val="Heading3"/>
      </w:pPr>
      <w:r>
        <w:t xml:space="preserve">5.3. Recommendations for Reduction</w:t>
      </w:r>
    </w:p>
    <w:p>
      <w:pPr>
        <w:numPr>
          <w:ilvl w:val="0"/>
          <w:numId w:val="1021"/>
        </w:numPr>
        <w:pStyle w:val="Compact"/>
      </w:pPr>
      <w:r>
        <w:rPr>
          <w:bCs/>
          <w:b/>
        </w:rPr>
        <w:t xml:space="preserve">Material Optimization:</w:t>
      </w:r>
      <w:r>
        <w:t xml:space="preserve"> </w:t>
      </w:r>
      <w:r>
        <w:t xml:space="preserve">Explore alternative, lower-carbon materials or reduce material quantities, especially for high-impact components like aluminum. Increase recycled content.</w:t>
      </w:r>
    </w:p>
    <w:p>
      <w:pPr>
        <w:numPr>
          <w:ilvl w:val="0"/>
          <w:numId w:val="1021"/>
        </w:numPr>
        <w:pStyle w:val="Compact"/>
      </w:pPr>
      <w:r>
        <w:rPr>
          <w:bCs/>
          <w:b/>
        </w:rPr>
        <w:t xml:space="preserve">Energy Efficiency &amp; Renewables in Manufacturing:</w:t>
      </w:r>
      <w:r>
        <w:t xml:space="preserve"> </w:t>
      </w:r>
      <w:r>
        <w:t xml:space="preserve">Further increase renewable energy usage beyond `pkxiiffwwy`% and invest in energy-efficient production technologies in China.</w:t>
      </w:r>
    </w:p>
    <w:p>
      <w:pPr>
        <w:numPr>
          <w:ilvl w:val="0"/>
          <w:numId w:val="1021"/>
        </w:numPr>
        <w:pStyle w:val="Compact"/>
      </w:pPr>
      <w:r>
        <w:rPr>
          <w:bCs/>
          <w:b/>
        </w:rPr>
        <w:t xml:space="preserve">Logistics Optimization:</w:t>
      </w:r>
      <w:r>
        <w:t xml:space="preserve"> </w:t>
      </w:r>
      <w:r>
        <w:t xml:space="preserve">Optimize transport routes, switch to lower-emission transport modes where feasible (e.g., rail over road for longer distances in Europe), and explore local sourcing.</w:t>
      </w:r>
    </w:p>
    <w:p>
      <w:pPr>
        <w:numPr>
          <w:ilvl w:val="0"/>
          <w:numId w:val="1021"/>
        </w:numPr>
        <w:pStyle w:val="Compact"/>
      </w:pPr>
      <w:r>
        <w:rPr>
          <w:bCs/>
          <w:b/>
        </w:rPr>
        <w:t xml:space="preserve">Use Phase Efficiency:</w:t>
      </w:r>
      <w:r>
        <w:t xml:space="preserve"> </w:t>
      </w:r>
      <w:r>
        <w:t xml:space="preserve">Design \'skkrfgixyi\' for lower energy consumption during its use phase, or extend its lifespan to amortize initial production emissions over a longer period.</w:t>
      </w:r>
    </w:p>
    <w:p>
      <w:pPr>
        <w:numPr>
          <w:ilvl w:val="0"/>
          <w:numId w:val="1021"/>
        </w:numPr>
        <w:pStyle w:val="Compact"/>
      </w:pPr>
      <w:r>
        <w:rPr>
          <w:bCs/>
          <w:b/>
        </w:rPr>
        <w:t xml:space="preserve">Circular Economy Integration:</w:t>
      </w:r>
      <w:r>
        <w:t xml:space="preserve"> </w:t>
      </w:r>
      <w:r>
        <w:t xml:space="preserve">Expand and promote \'dtytrmtnpd\' programs and design for higher recyclability (beyond `kvrkdlrfio`%) to maximize material recovery and minimize end-of-life impacts.</w:t>
      </w:r>
    </w:p>
    <w:p>
      <w:r>
        <w:pict>
          <v:rect style="width:0;height:1.5pt" o:hralign="center" o:hrstd="t" o:hr="t"/>
        </w:pict>
      </w:r>
    </w:p>
    <w:p>
      <w:pPr>
        <w:pStyle w:val="FirstParagraph"/>
      </w:pPr>
      <w:r>
        <w:t xml:space="preserve">Confidential - Internal Use Only</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skkrfgixyi</dc:title>
  <dc:creator/>
  <dc:description>Detailed Product Carbon Footprint (PCF) analysis report for product skkrfgixyi by ozzziyotsz, following GHG Protocol standards and 2026 LSR updates, prepared by fzuwupqjmw.</dc:description>
  <dc:language>en</dc:language>
  <cp:keywords/>
  <dcterms:created xsi:type="dcterms:W3CDTF">2026-05-30T15:55:33Z</dcterms:created>
  <dcterms:modified xsi:type="dcterms:W3CDTF">2026-05-30T15:55:33Z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