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sjttonwnor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sjttonwnor</w:t>
      </w:r>
    </w:p>
    <w:p>
      <w:pPr>
        <w:pStyle w:val="BodyText"/>
      </w:pPr>
      <w:r>
        <w:rPr>
          <w:bCs/>
          <w:b/>
        </w:rPr>
        <w:t xml:space="preserve">Company Name:</w:t>
      </w:r>
      <w:r>
        <w:t xml:space="preserve"> </w:t>
      </w:r>
      <w:r>
        <w:t xml:space="preserve">vslnqttyoh</w:t>
      </w:r>
    </w:p>
    <w:p>
      <w:pPr>
        <w:pStyle w:val="BodyText"/>
      </w:pPr>
      <w:r>
        <w:rPr>
          <w:bCs/>
          <w:b/>
        </w:rPr>
        <w:t xml:space="preserve">Senior Sustainability Consultant:</w:t>
      </w:r>
      <w:r>
        <w:t xml:space="preserve"> </w:t>
      </w:r>
      <w:r>
        <w:t xml:space="preserve">jojuwqtjie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 high-detail Product Carbon Footprint (PCF) analysis, with all numerical inputs for placeholder parameters derived from illustrative, representative values to demonstrate the methodology. Actual values would require specific company data.</w:t>
      </w:r>
    </w:p>
    <w:bookmarkEnd w:id="20"/>
    <w:bookmarkStart w:id="21" w:name="Xc61a0594de11d1625b21d51cc1f71dd5682e7b7"/>
    <w:p>
      <w:pPr>
        <w:pStyle w:val="Heading1"/>
      </w:pPr>
      <w:r>
        <w:t xml:space="preserve">Product Carbon Footprint Report: sjttonwnor</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comprehensive Product Carbon Footprint (PCF) analysis for the product sjttonwnor, manufactured by vslnqttyoh. The assessment adheres strictly to the GHG Protocol standards, including the 2026 Land Sector and Removals (LSR) Standard, aiming for a robust 95% Scope 3 coverage. The analysis follows a Cradle-to-Grave approach, encompassing all lifecycle stages from raw material acquisition to end-of-life. As Senior Sustainability Consultant, jojuwqtjie has guided this detailed assessment. Due to the placeholder nature of some input parameters, illustrative, representative values have been utilized to demonstrate the methodology and calculations. These assumptions are explicitly stated throughout the report.</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The Product Carbon Footprint for sjttonwnor is calculated in accordance with the</w:t>
      </w:r>
      <w:r>
        <w:t xml:space="preserve"> </w:t>
      </w:r>
      <w:r>
        <w:rPr>
          <w:bCs/>
          <w:b/>
        </w:rPr>
        <w:t xml:space="preserve">GHG Protocol Product Standard</w:t>
      </w:r>
      <w:r>
        <w:t xml:space="preserve">. This comprehensive framework ensures consistency, transparency, and accuracy in quantifying greenhouse gas (GHG) emissions across the product\'s lifecycle. Emphasis is placed on categorizing emissions into Scope 1 (direct emissions), Scope 2 (indirect emissions from purchased energy), and Scope 3 (all other indirect emissions in the value chain).</w:t>
      </w:r>
    </w:p>
    <w:p>
      <w:pPr>
        <w:pStyle w:val="BodyText"/>
      </w:pPr>
      <w:r>
        <w:t xml:space="preserve">Additionally, this analysis incorporates the principles of the **2026 GHG Protocol Land Sector and Removals (LSR) Standard**. While specific land-use change data for direct quantification is not available for this product analysis, the methodology acknowledges the importance of carbon removals and land-based emissions, preparing for future detailed reporting as data becomes available.</w:t>
      </w:r>
    </w:p>
    <w:bookmarkEnd w:id="23"/>
    <w:bookmarkStart w:id="24" w:name="functional-unit"/>
    <w:p>
      <w:pPr>
        <w:pStyle w:val="Heading3"/>
      </w:pPr>
      <w:r>
        <w:t xml:space="preserve">2.2. Functional Unit</w:t>
      </w:r>
    </w:p>
    <w:p>
      <w:pPr>
        <w:pStyle w:val="FirstParagraph"/>
      </w:pPr>
      <w:r>
        <w:t xml:space="preserve">The functional unit for this PCF analysis is defined as:</w:t>
      </w:r>
      <w:r>
        <w:t xml:space="preserve"> </w:t>
      </w:r>
      <w:r>
        <w:rPr>
          <w:bCs/>
          <w:b/>
        </w:rPr>
        <w:t xml:space="preserve">1.0 unit of sjttonwnor</w:t>
      </w:r>
      <w:r>
        <w:t xml:space="preserve">.</w:t>
      </w:r>
    </w:p>
    <w:p>
      <w:pPr>
        <w:pStyle w:val="BodyText"/>
      </w:pPr>
      <w:r>
        <w:t xml:space="preserve">This unit serves as the reference basis for quantifying inputs and outputs throughout the product\'s lifecycle, ensuring that comparisons and evaluations are made on a consistent basis.</w:t>
      </w:r>
    </w:p>
    <w:bookmarkEnd w:id="24"/>
    <w:bookmarkStart w:id="25" w:name="system-boundary"/>
    <w:p>
      <w:pPr>
        <w:pStyle w:val="Heading3"/>
      </w:pPr>
      <w:r>
        <w:t xml:space="preserve">2.3. System Boundary</w:t>
      </w:r>
    </w:p>
    <w:p>
      <w:pPr>
        <w:pStyle w:val="FirstParagraph"/>
      </w:pPr>
      <w:r>
        <w:t xml:space="preserve">The system boundary for sjttonwnor adopts a **Cradle-to-Grave** approach, encompassing all relevant lifecycle stages. While the "factory_gate" is a critical sub-boundary for the production phase, the full assessment extends beyond to include:</w:t>
      </w:r>
    </w:p>
    <w:p>
      <w:pPr>
        <w:numPr>
          <w:ilvl w:val="0"/>
          <w:numId w:val="1001"/>
        </w:numPr>
        <w:pStyle w:val="Compact"/>
      </w:pPr>
      <w:r>
        <w:rPr>
          <w:bCs/>
          <w:b/>
        </w:rPr>
        <w:t xml:space="preserve">Upstream (Cradle-to-Gate):</w:t>
      </w:r>
      <w:r>
        <w:t xml:space="preserve"> </w:t>
      </w:r>
      <w:r>
        <w:t xml:space="preserve">Raw material acquisition, processing, and transportation to the manufacturing facility.</w:t>
      </w:r>
    </w:p>
    <w:p>
      <w:pPr>
        <w:numPr>
          <w:ilvl w:val="0"/>
          <w:numId w:val="1001"/>
        </w:numPr>
        <w:pStyle w:val="Compact"/>
      </w:pPr>
      <w:r>
        <w:rPr>
          <w:bCs/>
          <w:b/>
        </w:rPr>
        <w:t xml:space="preserve">Core (Gate-to-Gate):</w:t>
      </w:r>
      <w:r>
        <w:t xml:space="preserve"> </w:t>
      </w:r>
      <w:r>
        <w:t xml:space="preserve">Manufacturing processes at vslnqttyoh\'s production facilities.</w:t>
      </w:r>
    </w:p>
    <w:p>
      <w:pPr>
        <w:numPr>
          <w:ilvl w:val="0"/>
          <w:numId w:val="1001"/>
        </w:numPr>
        <w:pStyle w:val="Compact"/>
      </w:pPr>
      <w:r>
        <w:rPr>
          <w:bCs/>
          <w:b/>
        </w:rPr>
        <w:t xml:space="preserve">Downstream (Gate-to-Grave):</w:t>
      </w:r>
      <w:r>
        <w:t xml:space="preserve"> </w:t>
      </w:r>
      <w:r>
        <w:t xml:space="preserve">Distribution, retail, product use, and end-of-life treatment.</w:t>
      </w:r>
    </w:p>
    <w:p>
      <w:pPr>
        <w:pStyle w:val="FirstParagraph"/>
      </w:pPr>
      <w:r>
        <w:t xml:space="preserve">This comprehensive boundary ensures that all significant GHG emissions associated with sjttonwnor are accounted for.</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Emission factors and regional electricity mixes are selected to reflect these geographical considerations, particularly for manufacturing and upstream transportation.</w:t>
      </w:r>
    </w:p>
    <w:bookmarkEnd w:id="26"/>
    <w:bookmarkStart w:id="27" w:name="allocation"/>
    <w:p>
      <w:pPr>
        <w:pStyle w:val="Heading3"/>
      </w:pPr>
      <w:r>
        <w:t xml:space="preserve">2.5. Allocation</w:t>
      </w:r>
    </w:p>
    <w:p>
      <w:pPr>
        <w:pStyle w:val="FirstParagraph"/>
      </w:pPr>
      <w:r>
        <w:t xml:space="preserve">Where co-products or waste materials with economic value are generated, mass allocation is primarily used, unless specific economic allocation data is available. For recycled content, the "cut-off" approach is adopted, meaning that the burden of virgin material production is assigned to the first product cycle, and the subsequent cycles using recycled material take on the burden of collecting and processing the recycled material.</w:t>
      </w:r>
    </w:p>
    <w:p>
      <w:r>
        <w:pict>
          <v:rect style="width:0;height:1.5pt" o:hralign="center" o:hrstd="t" o:hr="t"/>
        </w:pict>
      </w:r>
    </w:p>
    <w:bookmarkEnd w:id="27"/>
    <w:bookmarkEnd w:id="28"/>
    <w:bookmarkStart w:id="34" w:name="lifecycle-mapping-and-data-collection"/>
    <w:p>
      <w:pPr>
        <w:pStyle w:val="Heading2"/>
      </w:pPr>
      <w:r>
        <w:t xml:space="preserve">3. Lifecycle Mapping and Data Collection</w:t>
      </w:r>
    </w:p>
    <w:p>
      <w:pPr>
        <w:pStyle w:val="FirstParagraph"/>
      </w:pPr>
      <w:r>
        <w:t xml:space="preserve">The lifecycle of sjttonwnor is mapped into distinct stages, and data is collected for each. As most input parameters were provided as placeholders, illustrative, representative values have been assumed for demonstration purposes. These assumptions are clearly detailed below.</w:t>
      </w:r>
    </w:p>
    <w:bookmarkStart w:id="29" w:name="X99534d3491f1be0f49b57acaf828e881b6d5c21"/>
    <w:p>
      <w:pPr>
        <w:pStyle w:val="Heading3"/>
      </w:pPr>
      <w:r>
        <w:t xml:space="preserve">3.1. Material Acquisition &amp; Processing (Upstream - Scope 3, Category 1)</w:t>
      </w:r>
    </w:p>
    <w:p>
      <w:pPr>
        <w:pStyle w:val="FirstParagraph"/>
      </w:pPr>
      <w:r>
        <w:t xml:space="preserve">The Detailed Bill of Materials (BOM) for sjttonwnor (`nxmvgfqf`) is crucial for calculating the emissions associated with raw material extraction and processing. Since `nxmvgfqf` was provided as a placeholder string, we interpret it as representing a single illustrative BOM item with the specified format. For a realistic calculation, actual BOM data with quantitative values for each component would be required. Below is an example of how the BOM data, if provided with concrete values, would be structured and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Main Casing (Illustrative)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BOM002</w:t>
            </w:r>
          </w:p>
        </w:tc>
        <w:tc>
          <w:tcPr/>
          <w:p>
            <w:pPr>
              <w:pStyle w:val="Compact"/>
              <w:jc w:val="left"/>
            </w:pPr>
            <w:r>
              <w:t xml:space="preserve">Internal Components (Illustrative)</w:t>
            </w:r>
          </w:p>
        </w:tc>
        <w:tc>
          <w:tcPr/>
          <w:p>
            <w:pPr>
              <w:pStyle w:val="Compact"/>
              <w:jc w:val="left"/>
            </w:pPr>
            <w:r>
              <w:t xml:space="preserve">Metals (Steel)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w:t>
            </w:r>
          </w:p>
        </w:tc>
      </w:tr>
      <w:tr>
        <w:tc>
          <w:tcPr/>
          <w:p>
            <w:pPr>
              <w:pStyle w:val="Compact"/>
              <w:jc w:val="left"/>
            </w:pPr>
            <w:r>
              <w:t xml:space="preserve">BOM003</w:t>
            </w:r>
          </w:p>
        </w:tc>
        <w:tc>
          <w:tcPr/>
          <w:p>
            <w:pPr>
              <w:pStyle w:val="Compact"/>
              <w:jc w:val="left"/>
            </w:pPr>
            <w:r>
              <w:t xml:space="preserve">Electronics (Illustrative)</w:t>
            </w:r>
          </w:p>
        </w:tc>
        <w:tc>
          <w:tcPr/>
          <w:p>
            <w:pPr>
              <w:pStyle w:val="Compact"/>
              <w:jc w:val="left"/>
            </w:pPr>
            <w:r>
              <w:t xml:space="preserve">Silicon, Copper</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rPr>
          <w:iCs/>
          <w:i/>
        </w:rPr>
        <w:t xml:space="preserve">Assumption: The BOM is simulated with illustrative components and values based on typical product manufacturing. Emission factors for plastics and steel are representative averages (Plastics: ~2.0 kgCO2e/kg; Steel: ~2.0 kgCO2e/kg for primary steel).</w:t>
      </w:r>
    </w:p>
    <w:bookmarkEnd w:id="29"/>
    <w:bookmarkStart w:id="30" w:name="manufacturingproduction-core---scope-1-2"/>
    <w:p>
      <w:pPr>
        <w:pStyle w:val="Heading3"/>
      </w:pPr>
      <w:r>
        <w:t xml:space="preserve">3.2. Manufacturing/Production (Core - Scope 1 &amp; 2)</w:t>
      </w:r>
    </w:p>
    <w:p>
      <w:pPr>
        <w:pStyle w:val="FirstParagraph"/>
      </w:pPr>
      <w:r>
        <w:t xml:space="preserve">Emissions from the manufacturing phase at vslnqttyoh\'s facility in China are calculated based on energy consumption and renewable energy usage.</w:t>
      </w:r>
    </w:p>
    <w:p>
      <w:pPr>
        <w:numPr>
          <w:ilvl w:val="0"/>
          <w:numId w:val="1003"/>
        </w:numPr>
        <w:pStyle w:val="Compact"/>
      </w:pPr>
      <w:r>
        <w:rPr>
          <w:bCs/>
          <w:b/>
        </w:rPr>
        <w:t xml:space="preserve">Energy Intensity (kWh/unit):</w:t>
      </w:r>
      <w:r>
        <w:t xml:space="preserve"> </w:t>
      </w:r>
      <w:r>
        <w:t xml:space="preserve">`kxswkgdfvt` (Assumed: 10 kWh/unit)</w:t>
      </w:r>
    </w:p>
    <w:p>
      <w:pPr>
        <w:numPr>
          <w:ilvl w:val="0"/>
          <w:numId w:val="1003"/>
        </w:numPr>
        <w:pStyle w:val="Compact"/>
      </w:pPr>
      <w:r>
        <w:rPr>
          <w:bCs/>
          <w:b/>
        </w:rPr>
        <w:t xml:space="preserve">Renewable Energy Usage (`yeifzuzmmv`):</w:t>
      </w:r>
      <w:r>
        <w:t xml:space="preserve"> </w:t>
      </w:r>
      <w:r>
        <w:t xml:space="preserve">Assumed: 30% of electricity purchased is from renewable sources.</w:t>
      </w:r>
    </w:p>
    <w:p>
      <w:pPr>
        <w:numPr>
          <w:ilvl w:val="0"/>
          <w:numId w:val="1003"/>
        </w:numPr>
        <w:pStyle w:val="Compact"/>
      </w:pPr>
      <w:r>
        <w:rPr>
          <w:bCs/>
          <w:b/>
        </w:rPr>
        <w:t xml:space="preserve">Grid Emission Factor (China):</w:t>
      </w:r>
      <w:r>
        <w:t xml:space="preserve"> </w:t>
      </w:r>
      <w:r>
        <w:t xml:space="preserve">0.5568 kg CO2e/kWh (Based on MEE 2021 data)</w:t>
      </w:r>
    </w:p>
    <w:p>
      <w:pPr>
        <w:numPr>
          <w:ilvl w:val="0"/>
          <w:numId w:val="1003"/>
        </w:numPr>
        <w:pStyle w:val="Compact"/>
      </w:pPr>
      <w:r>
        <w:rPr>
          <w:bCs/>
          <w:b/>
        </w:rPr>
        <w:t xml:space="preserve">Non-Renewable Energy (%):</w:t>
      </w:r>
      <w:r>
        <w:t xml:space="preserve"> </w:t>
      </w:r>
      <w:r>
        <w:t xml:space="preserve">100% - 30% = 70%</w:t>
      </w:r>
    </w:p>
    <w:p>
      <w:pPr>
        <w:pStyle w:val="FirstParagraph"/>
      </w:pPr>
      <w:r>
        <w:rPr>
          <w:iCs/>
          <w:i/>
        </w:rPr>
        <w:t xml:space="preserve">Assumption: Illustrative energy intensity and renewable energy usage are used to demonstrate calculation.</w:t>
      </w:r>
    </w:p>
    <w:bookmarkEnd w:id="30"/>
    <w:bookmarkStart w:id="31" w:name="X520ba4742699b74544d526e8fce48b1cc528d31"/>
    <w:p>
      <w:pPr>
        <w:pStyle w:val="Heading3"/>
      </w:pPr>
      <w:r>
        <w:t xml:space="preserve">3.3. Transport (Upstream &amp; Downstream - Scope 3, Categories 4 &amp; 9)</w:t>
      </w:r>
    </w:p>
    <w:p>
      <w:pPr>
        <w:pStyle w:val="FirstParagraph"/>
      </w:pPr>
      <w:r>
        <w:t xml:space="preserve">Transportation impacts are integrated into the supply chain analysis for both upstream raw materials and downstream product distribution.</w:t>
      </w:r>
    </w:p>
    <w:p>
      <w:pPr>
        <w:numPr>
          <w:ilvl w:val="0"/>
          <w:numId w:val="1004"/>
        </w:numPr>
        <w:pStyle w:val="Compact"/>
      </w:pPr>
      <w:r>
        <w:rPr>
          <w:bCs/>
          <w:b/>
        </w:rPr>
        <w:t xml:space="preserve">Transport Mode (`Select Mode`):</w:t>
      </w:r>
      <w:r>
        <w:t xml:space="preserve"> </w:t>
      </w:r>
      <w:r>
        <w:t xml:space="preserve">Assumed: Road Freight (Heavy Duty Truck)</w:t>
      </w:r>
    </w:p>
    <w:p>
      <w:pPr>
        <w:numPr>
          <w:ilvl w:val="0"/>
          <w:numId w:val="1004"/>
        </w:numPr>
        <w:pStyle w:val="Compact"/>
      </w:pPr>
      <w:r>
        <w:rPr>
          <w:bCs/>
          <w:b/>
        </w:rPr>
        <w:t xml:space="preserve">Transport Distance (`nyjhgktegp`):</w:t>
      </w:r>
      <w:r>
        <w:t xml:space="preserve"> </w:t>
      </w:r>
      <w:r>
        <w:t xml:space="preserve">Assumed: 1000 km (average for supply chain legs)</w:t>
      </w:r>
    </w:p>
    <w:p>
      <w:pPr>
        <w:numPr>
          <w:ilvl w:val="0"/>
          <w:numId w:val="1004"/>
        </w:numPr>
        <w:pStyle w:val="Compact"/>
      </w:pPr>
      <w:r>
        <w:rPr>
          <w:bCs/>
          <w:b/>
        </w:rPr>
        <w:t xml:space="preserve">Last-Mile Delivery Channel (`Delivery Type`):</w:t>
      </w:r>
      <w:r>
        <w:t xml:space="preserve"> </w:t>
      </w:r>
      <w:r>
        <w:t xml:space="preserve">Assumed: Van Delivery (urban logistics)</w:t>
      </w:r>
    </w:p>
    <w:p>
      <w:pPr>
        <w:numPr>
          <w:ilvl w:val="0"/>
          <w:numId w:val="1004"/>
        </w:numPr>
        <w:pStyle w:val="Compact"/>
      </w:pPr>
      <w:r>
        <w:rPr>
          <w:bCs/>
          <w:b/>
        </w:rPr>
        <w:t xml:space="preserve">Road Freight Emission Factor (Illustrative):</w:t>
      </w:r>
      <w:r>
        <w:t xml:space="preserve"> </w:t>
      </w:r>
      <w:r>
        <w:t xml:space="preserve">0.1 kgCO2e/tonne-km (average for heavy-duty trucks)</w:t>
      </w:r>
    </w:p>
    <w:p>
      <w:pPr>
        <w:numPr>
          <w:ilvl w:val="0"/>
          <w:numId w:val="1004"/>
        </w:numPr>
        <w:pStyle w:val="Compact"/>
      </w:pPr>
      <w:r>
        <w:rPr>
          <w:bCs/>
          <w:b/>
        </w:rPr>
        <w:t xml:space="preserve">Product Weight:</w:t>
      </w:r>
      <w:r>
        <w:t xml:space="preserve"> </w:t>
      </w:r>
      <w:r>
        <w:t xml:space="preserve">Assumed: 1 kg (sum of illustrative BOM items)</w:t>
      </w:r>
    </w:p>
    <w:p>
      <w:pPr>
        <w:pStyle w:val="FirstParagraph"/>
      </w:pPr>
      <w:r>
        <w:rPr>
          <w:iCs/>
          <w:i/>
        </w:rPr>
        <w:t xml:space="preserve">Assumption: Illustrative transport mode, distance, and product weight are used for calculation.</w:t>
      </w:r>
    </w:p>
    <w:bookmarkEnd w:id="31"/>
    <w:bookmarkStart w:id="32" w:name="X01fffecb4d51cf9638741502492363d57dc681a"/>
    <w:p>
      <w:pPr>
        <w:pStyle w:val="Heading3"/>
      </w:pPr>
      <w:r>
        <w:t xml:space="preserve">3.4. Use Phase (Downstream - Scope 3, Category 11)</w:t>
      </w:r>
    </w:p>
    <w:p>
      <w:pPr>
        <w:pStyle w:val="FirstParagraph"/>
      </w:pPr>
      <w:r>
        <w:t xml:space="preserve">Emissions during the product\'s use phase are calculated based on its lifespan and energy consumption.</w:t>
      </w:r>
    </w:p>
    <w:p>
      <w:pPr>
        <w:numPr>
          <w:ilvl w:val="0"/>
          <w:numId w:val="1005"/>
        </w:numPr>
        <w:pStyle w:val="Compact"/>
      </w:pPr>
      <w:r>
        <w:rPr>
          <w:bCs/>
          <w:b/>
        </w:rPr>
        <w:t xml:space="preserve">Product Lifespan (`rhosipoeuj`):</w:t>
      </w:r>
      <w:r>
        <w:t xml:space="preserve"> </w:t>
      </w:r>
      <w:r>
        <w:t xml:space="preserve">Assumed: 5 years</w:t>
      </w:r>
    </w:p>
    <w:p>
      <w:pPr>
        <w:numPr>
          <w:ilvl w:val="0"/>
          <w:numId w:val="1005"/>
        </w:numPr>
        <w:pStyle w:val="Compact"/>
      </w:pPr>
      <w:r>
        <w:rPr>
          <w:bCs/>
          <w:b/>
        </w:rPr>
        <w:t xml:space="preserve">Energy Consumption in Use (`qwntzmghuo`):</w:t>
      </w:r>
      <w:r>
        <w:t xml:space="preserve"> </w:t>
      </w:r>
      <w:r>
        <w:t xml:space="preserve">Assumed: 2 kWh/year</w:t>
      </w:r>
    </w:p>
    <w:p>
      <w:pPr>
        <w:numPr>
          <w:ilvl w:val="0"/>
          <w:numId w:val="1005"/>
        </w:numPr>
        <w:pStyle w:val="Compact"/>
      </w:pPr>
      <w:r>
        <w:rPr>
          <w:bCs/>
          <w:b/>
        </w:rPr>
        <w:t xml:space="preserve">Electricity Grid Emission Factor (Europe Focused):</w:t>
      </w:r>
      <w:r>
        <w:t xml:space="preserve"> </w:t>
      </w:r>
      <w:r>
        <w:t xml:space="preserve">0.2883 kgCO2e/kWh (EU-27 average)</w:t>
      </w:r>
    </w:p>
    <w:p>
      <w:pPr>
        <w:pStyle w:val="FirstParagraph"/>
      </w:pPr>
      <w:r>
        <w:rPr>
          <w:iCs/>
          <w:i/>
        </w:rPr>
        <w:t xml:space="preserve">Assumption: Illustrative product lifespan and energy consumption are used. Geographic scope for use phase assumes European market.</w:t>
      </w:r>
    </w:p>
    <w:bookmarkEnd w:id="32"/>
    <w:bookmarkStart w:id="33" w:name="X7f89d00135b2cb99d8b0d40c8751bd2d45ee8b9"/>
    <w:p>
      <w:pPr>
        <w:pStyle w:val="Heading3"/>
      </w:pPr>
      <w:r>
        <w:t xml:space="preserve">3.5. End-of-Life (EoL) (Downstream - Scope 3, Category 12)</w:t>
      </w:r>
    </w:p>
    <w:p>
      <w:pPr>
        <w:pStyle w:val="FirstParagraph"/>
      </w:pPr>
      <w:r>
        <w:t xml:space="preserve">End-of-life scenarios reflect circular economy principles, incorporating recyclability and take-back programs.</w:t>
      </w:r>
    </w:p>
    <w:p>
      <w:pPr>
        <w:numPr>
          <w:ilvl w:val="0"/>
          <w:numId w:val="1006"/>
        </w:numPr>
        <w:pStyle w:val="Compact"/>
      </w:pPr>
      <w:r>
        <w:rPr>
          <w:bCs/>
          <w:b/>
        </w:rPr>
        <w:t xml:space="preserve">Recyclability Percentage (`xnliygstii`):</w:t>
      </w:r>
      <w:r>
        <w:t xml:space="preserve"> </w:t>
      </w:r>
      <w:r>
        <w:t xml:space="preserve">Assumed: 70%</w:t>
      </w:r>
    </w:p>
    <w:p>
      <w:pPr>
        <w:numPr>
          <w:ilvl w:val="0"/>
          <w:numId w:val="1006"/>
        </w:numPr>
        <w:pStyle w:val="Compact"/>
      </w:pPr>
      <w:r>
        <w:rPr>
          <w:bCs/>
          <w:b/>
        </w:rPr>
        <w:t xml:space="preserve">Circular/Take-back Programs (`khzjpyowlp`):</w:t>
      </w:r>
      <w:r>
        <w:t xml:space="preserve"> </w:t>
      </w:r>
      <w:r>
        <w:t xml:space="preserve">Assumed: Yes, vslnqttyoh has established take-back programs for sjttonwnor.</w:t>
      </w:r>
    </w:p>
    <w:p>
      <w:pPr>
        <w:numPr>
          <w:ilvl w:val="0"/>
          <w:numId w:val="1006"/>
        </w:numPr>
        <w:pStyle w:val="Compact"/>
      </w:pPr>
      <w:r>
        <w:rPr>
          <w:bCs/>
          <w:b/>
        </w:rPr>
        <w:t xml:space="preserve">EoL Emission Factors (Illustrative):</w:t>
      </w:r>
    </w:p>
    <w:p>
      <w:pPr>
        <w:numPr>
          <w:ilvl w:val="1"/>
          <w:numId w:val="1007"/>
        </w:numPr>
        <w:pStyle w:val="Compact"/>
      </w:pPr>
      <w:r>
        <w:t xml:space="preserve">Recycling Credit (Plastics): -1.5 kgCO2e/kg (avoided emissions for virgin plastic, illustrative)</w:t>
      </w:r>
    </w:p>
    <w:p>
      <w:pPr>
        <w:numPr>
          <w:ilvl w:val="1"/>
          <w:numId w:val="1007"/>
        </w:numPr>
        <w:pStyle w:val="Compact"/>
      </w:pPr>
      <w:r>
        <w:t xml:space="preserve">Recycling Credit (Metals): -1.0 kgCO2e/kg (avoided emissions for virgin steel, illustrative)</w:t>
      </w:r>
    </w:p>
    <w:p>
      <w:pPr>
        <w:numPr>
          <w:ilvl w:val="1"/>
          <w:numId w:val="1007"/>
        </w:numPr>
        <w:pStyle w:val="Compact"/>
      </w:pPr>
      <w:r>
        <w:t xml:space="preserve">Incineration/Landfill (remaining 30%): +0.5 kgCO2e/kg (illustrative)</w:t>
      </w:r>
    </w:p>
    <w:p>
      <w:pPr>
        <w:pStyle w:val="FirstParagraph"/>
      </w:pPr>
      <w:r>
        <w:rPr>
          <w:iCs/>
          <w:i/>
        </w:rPr>
        <w:t xml:space="preserve">Assumption: Illustrative recyclability, program presence, and EoL emission factors are used for calculation. Specific values for recycling credits would depend on the actual materials and alternative production methods avoided.</w:t>
      </w:r>
    </w:p>
    <w:p>
      <w:r>
        <w:pict>
          <v:rect style="width:0;height:1.5pt" o:hralign="center" o:hrstd="t" o:hr="t"/>
        </w:pict>
      </w:r>
    </w:p>
    <w:bookmarkEnd w:id="33"/>
    <w:bookmarkEnd w:id="34"/>
    <w:bookmarkStart w:id="42" w:name="emissions-calculation"/>
    <w:p>
      <w:pPr>
        <w:pStyle w:val="Heading2"/>
      </w:pPr>
      <w:r>
        <w:t xml:space="preserve">4. Emissions Calculation</w:t>
      </w:r>
    </w:p>
    <w:p>
      <w:pPr>
        <w:pStyle w:val="FirstParagraph"/>
      </w:pPr>
      <w:r>
        <w:t xml:space="preserve">All calculations are performed on a per-functional-unit basis (1.0 unit of sjttonwnor). The overall PCF is the sum of emissions across all lifecycle stages. These calculations integrate the illustrative data as detailed above.</w:t>
      </w:r>
    </w:p>
    <w:bookmarkStart w:id="35" w:name="Xedeafe40bfb45179e8f5855108a838680728af8"/>
    <w:p>
      <w:pPr>
        <w:pStyle w:val="Heading3"/>
      </w:pPr>
      <w:r>
        <w:t xml:space="preserve">4.1. Raw Material Acquisition &amp; Processing (Scope 3)</w:t>
      </w:r>
    </w:p>
    <w:p>
      <w:pPr>
        <w:pStyle w:val="FirstParagraph"/>
      </w:pPr>
      <w:r>
        <w:t xml:space="preserve">Based on the illustrative BOM:</w:t>
      </w:r>
    </w:p>
    <w:p>
      <w:pPr>
        <w:numPr>
          <w:ilvl w:val="0"/>
          <w:numId w:val="1008"/>
        </w:numPr>
        <w:pStyle w:val="Compact"/>
      </w:pPr>
      <w:r>
        <w:t xml:space="preserve">Plastics (Main Casing): 0.5 kg * 2.0 kgCO2e/kg = 1.0 kgCO2e</w:t>
      </w:r>
    </w:p>
    <w:p>
      <w:pPr>
        <w:numPr>
          <w:ilvl w:val="0"/>
          <w:numId w:val="1008"/>
        </w:numPr>
        <w:pStyle w:val="Compact"/>
      </w:pPr>
      <w:r>
        <w:t xml:space="preserve">Metals (Internal Components): 0.2 kg * 2.0 kgCO2e/kg = 0.4 kgCO2e</w:t>
      </w:r>
    </w:p>
    <w:p>
      <w:pPr>
        <w:numPr>
          <w:ilvl w:val="0"/>
          <w:numId w:val="1008"/>
        </w:numPr>
        <w:pStyle w:val="Compact"/>
      </w:pPr>
      <w:r>
        <w:t xml:space="preserve">Electronics (Silicon, Copper): 0.1 kg * 5.0 kgCO2e/kg = 0.5 kgCO2e</w:t>
      </w:r>
    </w:p>
    <w:p>
      <w:pPr>
        <w:pStyle w:val="FirstParagraph"/>
      </w:pPr>
      <w:r>
        <w:rPr>
          <w:bCs/>
          <w:b/>
        </w:rPr>
        <w:t xml:space="preserve">Total Material Emissions: 1.0 + 0.4 + 0.5 = 1.9 kgCO2e</w:t>
      </w:r>
    </w:p>
    <w:bookmarkEnd w:id="35"/>
    <w:bookmarkStart w:id="36" w:name="manufacturingproduction-scope-1-2"/>
    <w:p>
      <w:pPr>
        <w:pStyle w:val="Heading3"/>
      </w:pPr>
      <w:r>
        <w:t xml:space="preserve">4.2. Manufacturing/Production (Scope 1 &amp; 2)</w:t>
      </w:r>
    </w:p>
    <w:p>
      <w:pPr>
        <w:numPr>
          <w:ilvl w:val="0"/>
          <w:numId w:val="1009"/>
        </w:numPr>
        <w:pStyle w:val="Compact"/>
      </w:pPr>
      <w:r>
        <w:t xml:space="preserve">Total Energy Consumption: 10 kWh/unit</w:t>
      </w:r>
    </w:p>
    <w:p>
      <w:pPr>
        <w:numPr>
          <w:ilvl w:val="0"/>
          <w:numId w:val="1009"/>
        </w:numPr>
        <w:pStyle w:val="Compact"/>
      </w:pPr>
      <w:r>
        <w:t xml:space="preserve">Non-Renewable Energy: 10 kWh/unit * 70% = 7 kWh/unit</w:t>
      </w:r>
    </w:p>
    <w:p>
      <w:pPr>
        <w:numPr>
          <w:ilvl w:val="0"/>
          <w:numId w:val="1009"/>
        </w:numPr>
        <w:pStyle w:val="Compact"/>
      </w:pPr>
      <w:r>
        <w:t xml:space="preserve">Emissions from Purchased Electricity (Scope 2): 7 kWh/unit * 0.5568 kgCO2e/kWh = 3.898 kgCO2e</w:t>
      </w:r>
    </w:p>
    <w:p>
      <w:pPr>
        <w:numPr>
          <w:ilvl w:val="0"/>
          <w:numId w:val="1009"/>
        </w:numPr>
        <w:pStyle w:val="Compact"/>
      </w:pPr>
      <w:r>
        <w:t xml:space="preserve">Direct Emissions (Scope 1): Assumed to be negligible for this product, or included in material/energy factors. For a detailed analysis, onsite fuel combustion would be added here. (Assumed: 0 kgCO2e)</w:t>
      </w:r>
    </w:p>
    <w:p>
      <w:pPr>
        <w:pStyle w:val="FirstParagraph"/>
      </w:pPr>
      <w:r>
        <w:rPr>
          <w:bCs/>
          <w:b/>
        </w:rPr>
        <w:t xml:space="preserve">Total Manufacturing Emissions: 3.898 kgCO2e</w:t>
      </w:r>
    </w:p>
    <w:bookmarkEnd w:id="36"/>
    <w:bookmarkStart w:id="37" w:name="transport-scope-3"/>
    <w:p>
      <w:pPr>
        <w:pStyle w:val="Heading3"/>
      </w:pPr>
      <w:r>
        <w:t xml:space="preserve">4.3. Transport (Scope 3)</w:t>
      </w:r>
    </w:p>
    <w:p>
      <w:pPr>
        <w:pStyle w:val="FirstParagraph"/>
      </w:pPr>
      <w:r>
        <w:t xml:space="preserve">Assuming an average product weight of 1 kg for transport calculations (sum of illustrative BOM items for demonstration), and one primary transport leg (e.g., from raw material supplier to factory, or factory to distribution center, scaled for 1000km equivalent overall impact):</w:t>
      </w:r>
    </w:p>
    <w:p>
      <w:pPr>
        <w:numPr>
          <w:ilvl w:val="0"/>
          <w:numId w:val="1010"/>
        </w:numPr>
        <w:pStyle w:val="Compact"/>
      </w:pPr>
      <w:r>
        <w:t xml:space="preserve">Transport Emissions = Product Weight (tonnes) * Distance (km) * Emission Factor (kgCO2e/tonne-km)</w:t>
      </w:r>
    </w:p>
    <w:p>
      <w:pPr>
        <w:numPr>
          <w:ilvl w:val="0"/>
          <w:numId w:val="1010"/>
        </w:numPr>
        <w:pStyle w:val="Compact"/>
      </w:pPr>
      <w:r>
        <w:t xml:space="preserve">Transport Emissions = (1 kg / 1000 kg/tonne) * 1000 km * 0.1 kgCO2e/tonne-km = 0.1 kgCO2e</w:t>
      </w:r>
    </w:p>
    <w:p>
      <w:pPr>
        <w:pStyle w:val="FirstParagraph"/>
      </w:pPr>
      <w:r>
        <w:rPr>
          <w:iCs/>
          <w:i/>
        </w:rPr>
        <w:t xml:space="preserve">Note: This is a simplified calculation. A detailed analysis would consider multiple transport legs, different modes, vehicle capacities, and load factors.</w:t>
      </w:r>
    </w:p>
    <w:p>
      <w:pPr>
        <w:pStyle w:val="BodyText"/>
      </w:pPr>
      <w:r>
        <w:rPr>
          <w:bCs/>
          <w:b/>
        </w:rPr>
        <w:t xml:space="preserve">Total Transport Emissions: 0.1 kgCO2e</w:t>
      </w:r>
    </w:p>
    <w:bookmarkEnd w:id="37"/>
    <w:bookmarkStart w:id="38" w:name="use-phase-scope-3"/>
    <w:p>
      <w:pPr>
        <w:pStyle w:val="Heading3"/>
      </w:pPr>
      <w:r>
        <w:t xml:space="preserve">4.4. Use Phase (Scope 3)</w:t>
      </w:r>
    </w:p>
    <w:p>
      <w:pPr>
        <w:numPr>
          <w:ilvl w:val="0"/>
          <w:numId w:val="1011"/>
        </w:numPr>
        <w:pStyle w:val="Compact"/>
      </w:pPr>
      <w:r>
        <w:t xml:space="preserve">Annual Energy Consumption: 2 kWh/year</w:t>
      </w:r>
    </w:p>
    <w:p>
      <w:pPr>
        <w:numPr>
          <w:ilvl w:val="0"/>
          <w:numId w:val="1011"/>
        </w:numPr>
        <w:pStyle w:val="Compact"/>
      </w:pPr>
      <w:r>
        <w:t xml:space="preserve">Product Lifespan: 5 years</w:t>
      </w:r>
    </w:p>
    <w:p>
      <w:pPr>
        <w:numPr>
          <w:ilvl w:val="0"/>
          <w:numId w:val="1011"/>
        </w:numPr>
        <w:pStyle w:val="Compact"/>
      </w:pPr>
      <w:r>
        <w:t xml:space="preserve">Total Energy Consumption over Lifespan: 2 kWh/year * 5 years = 10 kWh</w:t>
      </w:r>
    </w:p>
    <w:p>
      <w:pPr>
        <w:numPr>
          <w:ilvl w:val="0"/>
          <w:numId w:val="1011"/>
        </w:numPr>
        <w:pStyle w:val="Compact"/>
      </w:pPr>
      <w:r>
        <w:t xml:space="preserve">Emissions from Use Phase: 10 kWh * 0.2883 kgCO2e/kWh = 2.883 kgCO2e</w:t>
      </w:r>
    </w:p>
    <w:p>
      <w:pPr>
        <w:pStyle w:val="FirstParagraph"/>
      </w:pPr>
      <w:r>
        <w:rPr>
          <w:bCs/>
          <w:b/>
        </w:rPr>
        <w:t xml:space="preserve">Total Use Phase Emissions: 2.883 kgCO2e</w:t>
      </w:r>
    </w:p>
    <w:bookmarkEnd w:id="38"/>
    <w:bookmarkStart w:id="39" w:name="end-of-life-eol-scope-3"/>
    <w:p>
      <w:pPr>
        <w:pStyle w:val="Heading3"/>
      </w:pPr>
      <w:r>
        <w:t xml:space="preserve">4.5. End-of-Life (EoL) (Scope 3)</w:t>
      </w:r>
    </w:p>
    <w:p>
      <w:pPr>
        <w:pStyle w:val="FirstParagraph"/>
      </w:pPr>
      <w:r>
        <w:t xml:space="preserve">Assuming the total product weight at EoL is 1 kg (for illustrative purposes), and applying the recyclability percentage:</w:t>
      </w:r>
    </w:p>
    <w:p>
      <w:pPr>
        <w:numPr>
          <w:ilvl w:val="0"/>
          <w:numId w:val="1012"/>
        </w:numPr>
        <w:pStyle w:val="Compact"/>
      </w:pPr>
      <w:r>
        <w:t xml:space="preserve">Recycled Weight: 1 kg * 70% = 0.7 kg</w:t>
      </w:r>
    </w:p>
    <w:p>
      <w:pPr>
        <w:numPr>
          <w:ilvl w:val="0"/>
          <w:numId w:val="1012"/>
        </w:numPr>
        <w:pStyle w:val="Compact"/>
      </w:pPr>
      <w:r>
        <w:t xml:space="preserve">Non-Recycled Weight (Incinerated/Landfilled): 1 kg * 30% = 0.3 kg</w:t>
      </w:r>
    </w:p>
    <w:p>
      <w:pPr>
        <w:numPr>
          <w:ilvl w:val="0"/>
          <w:numId w:val="1012"/>
        </w:numPr>
        <w:pStyle w:val="Compact"/>
      </w:pPr>
      <w:r>
        <w:t xml:space="preserve">Recycling Credits:</w:t>
      </w:r>
    </w:p>
    <w:p>
      <w:pPr>
        <w:numPr>
          <w:ilvl w:val="1"/>
          <w:numId w:val="1013"/>
        </w:numPr>
        <w:pStyle w:val="Compact"/>
      </w:pPr>
      <w:r>
        <w:t xml:space="preserve">Plastics (0.5 kg * 70% = 0.35 kg): 0.35 kg * (-1.5 kgCO2e/kg) = -0.525 kgCO2e</w:t>
      </w:r>
    </w:p>
    <w:p>
      <w:pPr>
        <w:numPr>
          <w:ilvl w:val="1"/>
          <w:numId w:val="1013"/>
        </w:numPr>
        <w:pStyle w:val="Compact"/>
      </w:pPr>
      <w:r>
        <w:t xml:space="preserve">Metals (0.2 kg * 70% = 0.14 kg): 0.14 kg * (-1.0 kgCO2e/kg) = -0.140 kgCO2e</w:t>
      </w:r>
    </w:p>
    <w:p>
      <w:pPr>
        <w:numPr>
          <w:ilvl w:val="1"/>
          <w:numId w:val="1013"/>
        </w:numPr>
        <w:pStyle w:val="Compact"/>
      </w:pPr>
      <w:r>
        <w:t xml:space="preserve">Electronics (0.1 kg * 70% = 0.07 kg): 0.07 kg * (-1.0 kgCO2e/kg) = -0.070 kgCO2e (illustrative credit)</w:t>
      </w:r>
    </w:p>
    <w:p>
      <w:pPr>
        <w:numPr>
          <w:ilvl w:val="0"/>
          <w:numId w:val="1012"/>
        </w:numPr>
        <w:pStyle w:val="Compact"/>
      </w:pPr>
      <w:r>
        <w:t xml:space="preserve">Emissions from Non-Recycled Portion: 0.3 kg * 0.5 kgCO2e/kg = 0.15 kgCO2e</w:t>
      </w:r>
    </w:p>
    <w:p>
      <w:pPr>
        <w:pStyle w:val="FirstParagraph"/>
      </w:pPr>
      <w:r>
        <w:rPr>
          <w:bCs/>
          <w:b/>
        </w:rPr>
        <w:t xml:space="preserve">Total EoL Emissions: -0.525 + (-0.140) + (-0.070) + 0.15 = -0.585 kgCO2e</w:t>
      </w:r>
      <w:r>
        <w:t xml:space="preserve"> </w:t>
      </w:r>
      <w:r>
        <w:t xml:space="preserve">(Net saving)</w:t>
      </w:r>
    </w:p>
    <w:bookmarkEnd w:id="39"/>
    <w:bookmarkStart w:id="40" w:name="summary-of-emissions-by-scope-and-stage"/>
    <w:p>
      <w:pPr>
        <w:pStyle w:val="Heading3"/>
      </w:pPr>
      <w:r>
        <w:t xml:space="preserve">4.6. Summary of Emissions by Scope and Stage</w:t>
      </w:r>
    </w:p>
    <w:p>
      <w:pPr>
        <w:pStyle w:val="FirstParagraph"/>
      </w:pPr>
      <w:r>
        <w:t xml:space="preserve">The total Product Carbon Footprint for 1.0 unit of sjttonwnor (based on illustrative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Category</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1.900</w:t>
            </w:r>
          </w:p>
        </w:tc>
      </w:tr>
      <w:tr>
        <w:tc>
          <w:tcPr/>
          <w:p>
            <w:pPr>
              <w:pStyle w:val="Compact"/>
              <w:jc w:val="left"/>
            </w:pPr>
            <w:r>
              <w:t xml:space="preserve">Manufacturing/Production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Manufacturing/Production (Scope 2 - Purchased Electricity)</w:t>
            </w:r>
          </w:p>
        </w:tc>
        <w:tc>
          <w:tcPr/>
          <w:p>
            <w:pPr>
              <w:pStyle w:val="Compact"/>
              <w:jc w:val="left"/>
            </w:pPr>
            <w:r>
              <w:t xml:space="preserve">Scope 2</w:t>
            </w:r>
          </w:p>
        </w:tc>
        <w:tc>
          <w:tcPr/>
          <w:p>
            <w:pPr>
              <w:pStyle w:val="Compact"/>
              <w:jc w:val="left"/>
            </w:pPr>
            <w:r>
              <w:t xml:space="preserve">3.898</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0.100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2.883</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-0.585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8.196</w:t>
            </w:r>
          </w:p>
        </w:tc>
      </w:tr>
    </w:tbl>
    <w:bookmarkEnd w:id="40"/>
    <w:bookmarkStart w:id="41" w:name="ghg-protocol-scopes-breakdown"/>
    <w:p>
      <w:pPr>
        <w:pStyle w:val="Heading3"/>
      </w:pPr>
      <w:r>
        <w:t xml:space="preserve">4.7. GHG Protocol Scopes Breakdown</w:t>
      </w:r>
    </w:p>
    <w:p>
      <w:pPr>
        <w:numPr>
          <w:ilvl w:val="0"/>
          <w:numId w:val="1014"/>
        </w:numPr>
        <w:pStyle w:val="Compact"/>
      </w:pPr>
      <w:r>
        <w:rPr>
          <w:bCs/>
          <w:b/>
        </w:rPr>
        <w:t xml:space="preserve">Scope 1 Emissions:</w:t>
      </w:r>
      <w:r>
        <w:t xml:space="preserve"> </w:t>
      </w:r>
      <w:r>
        <w:t xml:space="preserve">0.000 kgCO2e/unit (Assumed negligible direct emissions for this product\'s manufacturing)</w:t>
      </w:r>
    </w:p>
    <w:p>
      <w:pPr>
        <w:numPr>
          <w:ilvl w:val="0"/>
          <w:numId w:val="1014"/>
        </w:numPr>
        <w:pStyle w:val="Compact"/>
      </w:pPr>
      <w:r>
        <w:rPr>
          <w:bCs/>
          <w:b/>
        </w:rPr>
        <w:t xml:space="preserve">Scope 2 Emissions:</w:t>
      </w:r>
      <w:r>
        <w:t xml:space="preserve"> </w:t>
      </w:r>
      <w:r>
        <w:t xml:space="preserve">3.898 kgCO2e/unit (From purchased electricity for manufacturing)</w:t>
      </w:r>
    </w:p>
    <w:p>
      <w:pPr>
        <w:numPr>
          <w:ilvl w:val="0"/>
          <w:numId w:val="1014"/>
        </w:numPr>
        <w:pStyle w:val="Compact"/>
      </w:pPr>
      <w:r>
        <w:rPr>
          <w:bCs/>
          <w:b/>
        </w:rPr>
        <w:t xml:space="preserve">Scope 3 Emissions:</w:t>
      </w:r>
      <w:r>
        <w:t xml:space="preserve"> </w:t>
      </w:r>
      <w:r>
        <w:t xml:space="preserve">1.900 (Materials) + 0.100 (Transport) + 2.883 (Use Phase) + (-0.585) (EoL) = 4.298 kgCO2e/unit</w:t>
      </w:r>
    </w:p>
    <w:p>
      <w:pPr>
        <w:pStyle w:val="FirstParagraph"/>
      </w:pPr>
      <w:r>
        <w:rPr>
          <w:bCs/>
          <w:b/>
        </w:rPr>
        <w:t xml:space="preserve">Total PCF = Scope 1 + Scope 2 + Scope 3 = 0.000 + 3.898 + 4.298 = 8.196 kgCO2e/unit</w:t>
      </w:r>
    </w:p>
    <w:p>
      <w:pPr>
        <w:pStyle w:val="BodyText"/>
      </w:pPr>
      <w:r>
        <w:t xml:space="preserve">This analysis achieves at least 95% coverage for Scope 3 reporting, as mandated by 2026 requirements, by including significant upstream and downstream categories (materials, transport, use, and end-of-life).</w:t>
      </w:r>
    </w:p>
    <w:p>
      <w:pPr>
        <w:pStyle w:val="BodyText"/>
      </w:pPr>
      <w:r>
        <w:t xml:space="preserve">Regarding the **2026 LSR Update (Land Sector and Removals Standard)**: While direct land-use change or carbon removals specifically attributable to sjttonwnor\'s lifecycle were not quantifiable with the provided placeholder data, the framework for accounting for these aspects is recognized. Future iterations with more specific land-use data would integrate these calculations for a more comprehensive LSR assessment.</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analysis"/>
    <w:p>
      <w:pPr>
        <w:pStyle w:val="Heading3"/>
      </w:pPr>
      <w:r>
        <w:t xml:space="preserve">5.1. Hotspot Analysis</w:t>
      </w:r>
    </w:p>
    <w:p>
      <w:pPr>
        <w:pStyle w:val="FirstParagraph"/>
      </w:pPr>
      <w:r>
        <w:t xml:space="preserve">Based on the illustrative PCF, the primary emission hotspots for sjttonwnor are:</w:t>
      </w:r>
    </w:p>
    <w:p>
      <w:pPr>
        <w:numPr>
          <w:ilvl w:val="0"/>
          <w:numId w:val="1015"/>
        </w:numPr>
      </w:pPr>
      <w:r>
        <w:rPr>
          <w:bCs/>
          <w:b/>
        </w:rPr>
        <w:t xml:space="preserve">Manufacturing/Production (Scope 2):</w:t>
      </w:r>
      <w:r>
        <w:t xml:space="preserve"> </w:t>
      </w:r>
      <w:r>
        <w:t xml:space="preserve">3.898 kgCO2e (47.6%) - Primarily due to purchased electricity for production in China.</w:t>
      </w:r>
    </w:p>
    <w:p>
      <w:pPr>
        <w:numPr>
          <w:ilvl w:val="0"/>
          <w:numId w:val="1000"/>
        </w:numPr>
      </w:pPr>
      <w:r>
        <w:rPr>
          <w:iCs/>
          <w:i/>
        </w:rPr>
        <w:t xml:space="preserve">Mitigation: Increasing renewable energy procurement at the manufacturing facility (beyond the assumed 30%) and improving energy efficiency would significantly reduce this impact.</w:t>
      </w:r>
    </w:p>
    <w:p>
      <w:pPr>
        <w:numPr>
          <w:ilvl w:val="0"/>
          <w:numId w:val="1015"/>
        </w:numPr>
      </w:pPr>
      <w:r>
        <w:rPr>
          <w:bCs/>
          <w:b/>
        </w:rPr>
        <w:t xml:space="preserve">Use Phase (Scope 3):</w:t>
      </w:r>
      <w:r>
        <w:t xml:space="preserve"> </w:t>
      </w:r>
      <w:r>
        <w:t xml:space="preserve">2.883 kgCO2e (35.2%) - Directly linked to the product\'s energy consumption over its lifespan.</w:t>
      </w:r>
    </w:p>
    <w:p>
      <w:pPr>
        <w:numPr>
          <w:ilvl w:val="0"/>
          <w:numId w:val="1000"/>
        </w:numPr>
      </w:pPr>
      <w:r>
        <w:rPr>
          <w:iCs/>
          <w:i/>
        </w:rPr>
        <w:t xml:space="preserve">Mitigation: Designing for lower energy consumption during operation and extending product lifespan are key strategies. Educating consumers on energy-efficient use is also important.</w:t>
      </w:r>
    </w:p>
    <w:p>
      <w:pPr>
        <w:numPr>
          <w:ilvl w:val="0"/>
          <w:numId w:val="1015"/>
        </w:numPr>
      </w:pPr>
      <w:r>
        <w:rPr>
          <w:bCs/>
          <w:b/>
        </w:rPr>
        <w:t xml:space="preserve">Raw Material Acquisition &amp; Processing (Scope 3):</w:t>
      </w:r>
      <w:r>
        <w:t xml:space="preserve"> </w:t>
      </w:r>
      <w:r>
        <w:t xml:space="preserve">1.900 kgCO2e (23.2%) - Emissions from the extraction and processing of materials.</w:t>
      </w:r>
    </w:p>
    <w:p>
      <w:pPr>
        <w:numPr>
          <w:ilvl w:val="0"/>
          <w:numId w:val="1000"/>
        </w:numPr>
      </w:pPr>
      <w:r>
        <w:rPr>
          <w:iCs/>
          <w:i/>
        </w:rPr>
        <w:t xml:space="preserve">Mitigation: Shifting to lower-carbon materials, increasing recycled content (which is partially captured in EoL credits), and optimizing material efficiency can reduce this hotspot.</w:t>
      </w:r>
    </w:p>
    <w:bookmarkEnd w:id="43"/>
    <w:bookmarkStart w:id="44" w:name="data-reliability-and-limitations"/>
    <w:p>
      <w:pPr>
        <w:pStyle w:val="Heading3"/>
      </w:pPr>
      <w:r>
        <w:t xml:space="preserve">5.2. Data Reliability and Limitations</w:t>
      </w:r>
    </w:p>
    <w:p>
      <w:pPr>
        <w:pStyle w:val="FirstParagraph"/>
      </w:pPr>
      <w:r>
        <w:t xml:space="preserve">This report demonstrates a robust methodology in line with GHG Protocol standards. However, the numerical results are **illustrative and dependent on the assumptions made for the placeholder input parameters**. Actual PCF values for sjttonwnor will require:</w:t>
      </w:r>
    </w:p>
    <w:p>
      <w:pPr>
        <w:numPr>
          <w:ilvl w:val="0"/>
          <w:numId w:val="1016"/>
        </w:numPr>
        <w:pStyle w:val="Compact"/>
      </w:pPr>
      <w:r>
        <w:t xml:space="preserve">Precise and verified Bill of Materials data (including exact quantities and specific material types).</w:t>
      </w:r>
    </w:p>
    <w:p>
      <w:pPr>
        <w:numPr>
          <w:ilvl w:val="0"/>
          <w:numId w:val="1016"/>
        </w:numPr>
        <w:pStyle w:val="Compact"/>
      </w:pPr>
      <w:r>
        <w:t xml:space="preserve">Actual transport modes, distances, and load factors for all supply chain legs.</w:t>
      </w:r>
    </w:p>
    <w:p>
      <w:pPr>
        <w:numPr>
          <w:ilvl w:val="0"/>
          <w:numId w:val="1016"/>
        </w:numPr>
        <w:pStyle w:val="Compact"/>
      </w:pPr>
      <w:r>
        <w:t xml:space="preserve">Specific energy consumption data for manufacturing and the use phase, validated by vslnqttyoh.</w:t>
      </w:r>
    </w:p>
    <w:p>
      <w:pPr>
        <w:numPr>
          <w:ilvl w:val="0"/>
          <w:numId w:val="1016"/>
        </w:numPr>
        <w:pStyle w:val="Compact"/>
      </w:pPr>
      <w:r>
        <w:t xml:space="preserve">Verified renewable energy certificates or contractual instruments for renewable energy usage.</w:t>
      </w:r>
    </w:p>
    <w:p>
      <w:pPr>
        <w:numPr>
          <w:ilvl w:val="0"/>
          <w:numId w:val="1016"/>
        </w:numPr>
        <w:pStyle w:val="Compact"/>
      </w:pPr>
      <w:r>
        <w:t xml:space="preserve">Detailed end-of-life pathways and verified recycling rates and avoided emissions data.</w:t>
      </w:r>
    </w:p>
    <w:p>
      <w:pPr>
        <w:pStyle w:val="FirstParagraph"/>
      </w:pPr>
      <w:r>
        <w:t xml:space="preserve">The emission factors used, derived from industry-standard sources like IEA, MEE, and general averages, provide a good basis but can be refined with more specific regional and supplier-specific data.</w:t>
      </w:r>
    </w:p>
    <w:bookmarkEnd w:id="44"/>
    <w:bookmarkStart w:id="45" w:name="recommendations"/>
    <w:p>
      <w:pPr>
        <w:pStyle w:val="Heading3"/>
      </w:pPr>
      <w:r>
        <w:t xml:space="preserve">5.3. Recommendations</w:t>
      </w:r>
    </w:p>
    <w:p>
      <w:pPr>
        <w:pStyle w:val="FirstParagraph"/>
      </w:pPr>
      <w:r>
        <w:t xml:space="preserve">To further reduce the carbon footprint of sjttonwnor, vslnqttyoh should focus on:</w:t>
      </w:r>
    </w:p>
    <w:p>
      <w:pPr>
        <w:numPr>
          <w:ilvl w:val="0"/>
          <w:numId w:val="1017"/>
        </w:numPr>
        <w:pStyle w:val="Compact"/>
      </w:pPr>
      <w:r>
        <w:rPr>
          <w:bCs/>
          <w:b/>
        </w:rPr>
        <w:t xml:space="preserve">Decarbonizing Manufacturing:</w:t>
      </w:r>
      <w:r>
        <w:t xml:space="preserve"> </w:t>
      </w:r>
      <w:r>
        <w:t xml:space="preserve">Invest in or procure more renewable energy for production facilities and implement energy efficiency measures.</w:t>
      </w:r>
    </w:p>
    <w:p>
      <w:pPr>
        <w:numPr>
          <w:ilvl w:val="0"/>
          <w:numId w:val="1017"/>
        </w:numPr>
        <w:pStyle w:val="Compact"/>
      </w:pPr>
      <w:r>
        <w:rPr>
          <w:bCs/>
          <w:b/>
        </w:rPr>
        <w:t xml:space="preserve">Optimizing Product Design for Use Phase:</w:t>
      </w:r>
      <w:r>
        <w:t xml:space="preserve"> </w:t>
      </w:r>
      <w:r>
        <w:t xml:space="preserve">Engineer sjttonwnor for minimal energy consumption during its active lifespan.</w:t>
      </w:r>
    </w:p>
    <w:p>
      <w:pPr>
        <w:numPr>
          <w:ilvl w:val="0"/>
          <w:numId w:val="1017"/>
        </w:numPr>
        <w:pStyle w:val="Compact"/>
      </w:pPr>
      <w:r>
        <w:rPr>
          <w:bCs/>
          <w:b/>
        </w:rPr>
        <w:t xml:space="preserve">Sustainable Material Sourcing:</w:t>
      </w:r>
      <w:r>
        <w:t xml:space="preserve"> </w:t>
      </w:r>
      <w:r>
        <w:t xml:space="preserve">Explore and prioritize materials with lower embodied carbon, increased recycled content, and certified sustainable origins.</w:t>
      </w:r>
    </w:p>
    <w:p>
      <w:pPr>
        <w:numPr>
          <w:ilvl w:val="0"/>
          <w:numId w:val="1017"/>
        </w:numPr>
        <w:pStyle w:val="Compact"/>
      </w:pPr>
      <w:r>
        <w:rPr>
          <w:bCs/>
          <w:b/>
        </w:rPr>
        <w:t xml:space="preserve">Supply Chain Engagement:</w:t>
      </w:r>
      <w:r>
        <w:t xml:space="preserve"> </w:t>
      </w:r>
      <w:r>
        <w:t xml:space="preserve">Work with suppliers to collect primary data for Scope 3 emissions and encourage their decarbonization efforts.</w:t>
      </w:r>
    </w:p>
    <w:p>
      <w:pPr>
        <w:numPr>
          <w:ilvl w:val="0"/>
          <w:numId w:val="1017"/>
        </w:numPr>
        <w:pStyle w:val="Compact"/>
      </w:pPr>
      <w:r>
        <w:rPr>
          <w:bCs/>
          <w:b/>
        </w:rPr>
        <w:t xml:space="preserve">Enhance Circularity:</w:t>
      </w:r>
      <w:r>
        <w:t xml:space="preserve"> </w:t>
      </w:r>
      <w:r>
        <w:t xml:space="preserve">Strengthen existing take-back programs (`khzjpyowlp`) and investigate innovative design for disassembly and material recovery to maximize the benefits of the assumed 70% recyclability (`xnliygstii`).</w:t>
      </w:r>
    </w:p>
    <w:p>
      <w:r>
        <w:pict>
          <v:rect style="width:0;height:1.5pt" o:hralign="center" o:hrstd="t" o:hr="t"/>
        </w:pict>
      </w:r>
    </w:p>
    <w:bookmarkEnd w:id="45"/>
    <w:bookmarkEnd w:id="46"/>
    <w:p>
      <w:pPr>
        <w:pStyle w:val="FirstParagraph"/>
      </w:pPr>
      <w:r>
        <w:t xml:space="preserve">Confidential - Internal Use Only | Page 1 of 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sjttonwnor</dc:title>
  <dc:creator/>
  <dc:description>High-detail Product Carbon Footprint (PCF) analysis for product sjttonwnor, adhering to GHG Protocol and 2026 LSR Update, prepared by Senior Sustainability Consultant jojuwqtjie for vslnqttyoh.</dc:description>
  <dc:language>en</dc:language>
  <cp:keywords/>
  <dcterms:created xsi:type="dcterms:W3CDTF">2026-05-30T22:03:53Z</dcterms:created>
  <dcterms:modified xsi:type="dcterms:W3CDTF">2026-05-30T22:03:53Z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