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sitoqzjyei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sitoqzjyei</w:t>
      </w:r>
    </w:p>
    <w:p>
      <w:pPr>
        <w:pStyle w:val="BodyText"/>
      </w:pPr>
      <w:r>
        <w:t xml:space="preserve">**Company Name:** skgonqpolt</w:t>
      </w:r>
    </w:p>
    <w:p>
      <w:pPr>
        <w:pStyle w:val="BodyText"/>
      </w:pPr>
      <w:r>
        <w:t xml:space="preserve">**Accounting Standard:** GHG Protocol</w:t>
      </w:r>
    </w:p>
    <w:p>
      <w:pPr>
        <w:pStyle w:val="BodyText"/>
      </w:pPr>
      <w:r>
        <w:t xml:space="preserve">**Senior Sustainability Consultant:** wlrthhpypl</w:t>
      </w:r>
    </w:p>
    <w:p>
      <w:pPr>
        <w:pStyle w:val="BodyText"/>
      </w:pPr>
      <w:r>
        <w:t xml:space="preserve">*Disclaimer: This report is generated based on available data and industry standards, providing an estimate of the product\'s carbon footprint. Actual emissions may vary based on real-world conditions and further granular data availability.*</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"sitoqzjyei," manufactured by skgonqpolt. As wlrthhpypl, a Senior Sustainability Consultant specializing in GHG Protocol, this analysis adheres to the Greenhouse Gas Protocol standards, including the recent 2026 updates for the Land Sector and Removals (LSR) Standard and enhanced Scope 3 compliance requirements. The assessment covers the product\'s lifecycle from raw material acquisition through manufacturing, transport, use, and end-of-life, quantifying greenhouse gas emissions (CO2e) to identify emission hotspots and inform strategic reduction efforts.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sitoqzjyei</w:t>
      </w:r>
      <w:r>
        <w:t xml:space="preserve">. This unit serves as the reference basis to quantify and compare all input and output flows throughout the product\'s lifecycle.</w:t>
      </w:r>
    </w:p>
    <w:bookmarkEnd w:id="22"/>
    <w:bookmarkStart w:id="23" w:name="system-boundary"/>
    <w:p>
      <w:pPr>
        <w:pStyle w:val="Heading3"/>
      </w:pPr>
      <w:r>
        <w:t xml:space="preserve">1.2 System Boundary</w:t>
      </w:r>
    </w:p>
    <w:p>
      <w:pPr>
        <w:pStyle w:val="FirstParagraph"/>
      </w:pPr>
      <w:r>
        <w:t xml:space="preserve">While the primary system boundary for direct manufacturing emissions is defined as "factory_gate", this analysis extends beyond it to include upstream (cradle-to-gate for materials and initial transport) and downstream (use phase and end-of-life) stages, as necessitated by the comprehensive data parameters provided. This broader approach aims to provide a holistic view of the product\'s environmental impact across its entire lifespan, aligning with the GHG Protocol Product Standard for understanding full lifecycle emissions.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components)</w:t>
      </w:r>
    </w:p>
    <w:bookmarkEnd w:id="24"/>
    <w:bookmarkStart w:id="25" w:name="allocation"/>
    <w:p>
      <w:pPr>
        <w:pStyle w:val="Heading3"/>
      </w:pPr>
      <w:r>
        <w:t xml:space="preserve">1.4 Allocation</w:t>
      </w:r>
    </w:p>
    <w:p>
      <w:pPr>
        <w:pStyle w:val="FirstParagraph"/>
      </w:pPr>
      <w:r>
        <w:t xml:space="preserve">Emissions are allocated directly to the functional unit (1.0 unit of sitoqzjyei) based on mass and energy consumption. For shared processes or facilities, allocation is performed using scientifically sound and consistently applied methods, prioritizing physical causality where possible.</w:t>
      </w:r>
    </w:p>
    <w:p>
      <w:r>
        <w:pict>
          <v:rect style="width:0;height:1.5pt" o:hralign="center" o:hrstd="t" o:hr="t"/>
        </w:pict>
      </w:r>
    </w:p>
    <w:bookmarkEnd w:id="25"/>
    <w:bookmarkEnd w:id="26"/>
    <w:bookmarkStart w:id="33" w:name="X668a29dea6996859d52024a913312988ccfa3c9"/>
    <w:p>
      <w:pPr>
        <w:pStyle w:val="Heading2"/>
      </w:pPr>
      <w:r>
        <w:t xml:space="preserve">2. Map Lifecycle (LCI Inventory Stages) &amp; 3. Collect Data</w:t>
      </w:r>
    </w:p>
    <w:p>
      <w:pPr>
        <w:pStyle w:val="FirstParagraph"/>
      </w:pPr>
      <w:r>
        <w:t xml:space="preserve">This section details the inventory of materials, energy, and transportation involved in the lifecycle of sitoqzjyei. Data collection prioritizes primary data (e.g., specific Bill of Materials, energy usage) and supplements with robust secondary data (e.g., industry-average emission factors from reputable sources like Ecoinvent and DEFRA) where primary data is unavailable or not applicable.</w:t>
      </w:r>
    </w:p>
    <w:bookmarkStart w:id="27"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ttjizqry (representing sitoqzjyei) is critical for high-accuracy material impact calculation. The following table illustrates example BOM data as per the provided format, along with calculated total carbon for each component based on specified emission factors. These represent emissions from raw material extraction, processing, and manufacturing up to the point of delivery to the assembly plant.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bl>
    <w:p>
      <w:pPr>
        <w:pStyle w:val="BodyText"/>
      </w:pPr>
      <w:r>
        <w:rPr>
          <w:iCs/>
          <w:i/>
        </w:rPr>
        <w:t xml:space="preserve">Note: The "Emission Factor" values provided in the input prompt (as part of `ttjizqry`) are used directly for calculation. For general context, emission factors for primary aluminum production can be around 14.77 kgCO2e/kg, while extruded aluminum profiles are approximately 8.0 kgCO2e/kg. Lithium-ion battery manufacturing emissions vary significantly by region and technology, ranging from approximately 56 to 85 kgCO2eq/kWh of battery production. Another source indicates that manufacturing an 80 kWh lithium-ion battery can emit between 2,400 kg and 16,000 kg CO2, averaging around 30-200 kgCO2e/kWh. The provided factor of 30.0 kgCO2e/kg is applied here.</w:t>
      </w:r>
    </w:p>
    <w:bookmarkEnd w:id="27"/>
    <w:bookmarkStart w:id="28" w:name="X5d9a616230272d19ac31a04104aad83dfe92aca"/>
    <w:p>
      <w:pPr>
        <w:pStyle w:val="Heading3"/>
      </w:pPr>
      <w:r>
        <w:t xml:space="preserve">2.2 Manufacturing / Production (Scope 1 &amp; 2, and aspects of Scope 3)</w:t>
      </w:r>
    </w:p>
    <w:p>
      <w:pPr>
        <w:pStyle w:val="FirstParagraph"/>
      </w:pPr>
      <w:r>
        <w:t xml:space="preserve">The production phase for sitoqzjyei takes place in China.</w:t>
      </w:r>
    </w:p>
    <w:p>
      <w:pPr>
        <w:numPr>
          <w:ilvl w:val="0"/>
          <w:numId w:val="1002"/>
        </w:numPr>
        <w:pStyle w:val="Compact"/>
      </w:pPr>
      <w:r>
        <w:rPr>
          <w:bCs/>
          <w:b/>
        </w:rPr>
        <w:t xml:space="preserve">Energy Intensity (kWh/unit):</w:t>
      </w:r>
      <w:r>
        <w:t xml:space="preserve"> </w:t>
      </w:r>
      <w:r>
        <w:t xml:space="preserve">zdxyzhgtoh (Example value: 8.5 kWh/unit)</w:t>
      </w:r>
    </w:p>
    <w:p>
      <w:pPr>
        <w:numPr>
          <w:ilvl w:val="0"/>
          <w:numId w:val="1002"/>
        </w:numPr>
        <w:pStyle w:val="Compact"/>
      </w:pPr>
      <w:r>
        <w:rPr>
          <w:bCs/>
          <w:b/>
        </w:rPr>
        <w:t xml:space="preserve">Renewable Energy Usage:</w:t>
      </w:r>
      <w:r>
        <w:t xml:space="preserve"> </w:t>
      </w:r>
      <w:r>
        <w:t xml:space="preserve">wgfnhgtkmw (Example value: 65%)</w:t>
      </w:r>
    </w:p>
    <w:p>
      <w:pPr>
        <w:pStyle w:val="FirstParagraph"/>
      </w:pPr>
      <w:r>
        <w:t xml:space="preserve">Emissions from this stage include:</w:t>
      </w:r>
    </w:p>
    <w:p>
      <w:pPr>
        <w:numPr>
          <w:ilvl w:val="0"/>
          <w:numId w:val="1003"/>
        </w:numPr>
        <w:pStyle w:val="Compact"/>
      </w:pPr>
      <w:r>
        <w:rPr>
          <w:bCs/>
          <w:b/>
        </w:rPr>
        <w:t xml:space="preserve">Scope 1:</w:t>
      </w:r>
      <w:r>
        <w:t xml:space="preserve"> </w:t>
      </w:r>
      <w:r>
        <w:t xml:space="preserve">Direct emissions from owned or controlled sources (e.g., fuel combustion in factory machinery). For this analysis, specific Scope 1 emissions are not provided, so they are assumed to be negligible or covered under broader energy intensity for illustration purposes, or would require separate detailed fuel consumption data.</w:t>
      </w:r>
    </w:p>
    <w:p>
      <w:pPr>
        <w:numPr>
          <w:ilvl w:val="0"/>
          <w:numId w:val="1003"/>
        </w:numPr>
        <w:pStyle w:val="Compact"/>
      </w:pPr>
      <w:r>
        <w:rPr>
          <w:bCs/>
          <w:b/>
        </w:rPr>
        <w:t xml:space="preserve">Scope 2:</w:t>
      </w:r>
      <w:r>
        <w:t xml:space="preserve"> </w:t>
      </w:r>
      <w:r>
        <w:t xml:space="preserve">Indirect emissions from the generation of purchased electricity, heat, or steam. This is calculated based on the energy intensity and the emission factor of the electricity grid, adjusted for renewable energy usage. The average grid emission factor for China is approximately 0.556 kgCO2e/kWh or around 0.6835 tCO2e/MWh (0.6835 kgCO2e/kWh) for the comprehensive electricity footprint. For calculations, a conservative average of 0.6 kgCO2e/kWh for China\'s grid is used, which is then adjusted for renewable energy.</w:t>
      </w:r>
    </w:p>
    <w:p>
      <w:pPr>
        <w:numPr>
          <w:ilvl w:val="0"/>
          <w:numId w:val="1003"/>
        </w:numPr>
        <w:pStyle w:val="Compact"/>
      </w:pPr>
      <w:r>
        <w:rPr>
          <w:bCs/>
          <w:b/>
        </w:rPr>
        <w:t xml:space="preserve">Scope 3 (selected categories):</w:t>
      </w:r>
      <w:r>
        <w:t xml:space="preserve"> </w:t>
      </w:r>
      <w:r>
        <w:t xml:space="preserve">Emissions from the upstream production of capital goods, and waste generated in operations would typically fall under Scope 3.</w:t>
      </w:r>
    </w:p>
    <w:bookmarkEnd w:id="28"/>
    <w:bookmarkStart w:id="29" w:name="Xfee44cc992a15732f7eb7a80ff7ed65120f1554"/>
    <w:p>
      <w:pPr>
        <w:pStyle w:val="Heading3"/>
      </w:pPr>
      <w:r>
        <w:t xml:space="preserve">2.3 Transport and Distribution (Upstream &amp; Downstream - Scope 3, Category 4 &amp; 9)</w:t>
      </w:r>
    </w:p>
    <w:p>
      <w:pPr>
        <w:pStyle w:val="FirstParagraph"/>
      </w:pPr>
      <w:r>
        <w:t xml:space="preserve">Logistics play a significant role in the product\'s footprint. The analysis incorporates the following specific logistics data:</w:t>
      </w:r>
    </w:p>
    <w:p>
      <w:pPr>
        <w:numPr>
          <w:ilvl w:val="0"/>
          <w:numId w:val="1004"/>
        </w:numPr>
        <w:pStyle w:val="Compact"/>
      </w:pPr>
      <w:r>
        <w:rPr>
          <w:bCs/>
          <w:b/>
        </w:rPr>
        <w:t xml:space="preserve">Transport Mode (main components, Europe to China):</w:t>
      </w:r>
      <w:r>
        <w:t xml:space="preserve"> </w:t>
      </w:r>
      <w:r>
        <w:t xml:space="preserve">Select Mode (Example: Ocean Freight)</w:t>
      </w:r>
    </w:p>
    <w:p>
      <w:pPr>
        <w:numPr>
          <w:ilvl w:val="0"/>
          <w:numId w:val="1004"/>
        </w:numPr>
        <w:pStyle w:val="Compact"/>
      </w:pPr>
      <w:r>
        <w:rPr>
          <w:bCs/>
          <w:b/>
        </w:rPr>
        <w:t xml:space="preserve">Transport Distance (main components):</w:t>
      </w:r>
      <w:r>
        <w:t xml:space="preserve"> </w:t>
      </w:r>
      <w:r>
        <w:t xml:space="preserve">etkfxqdzyh (Example: 15,000 km)</w:t>
      </w:r>
    </w:p>
    <w:p>
      <w:pPr>
        <w:numPr>
          <w:ilvl w:val="0"/>
          <w:numId w:val="1004"/>
        </w:numPr>
        <w:pStyle w:val="Compact"/>
      </w:pPr>
      <w:r>
        <w:rPr>
          <w:bCs/>
          <w:b/>
        </w:rPr>
        <w:t xml:space="preserve">Transport Mode (finished product, China to Customer):</w:t>
      </w:r>
      <w:r>
        <w:t xml:space="preserve"> </w:t>
      </w:r>
      <w:r>
        <w:t xml:space="preserve">Road Freight</w:t>
      </w:r>
    </w:p>
    <w:p>
      <w:pPr>
        <w:numPr>
          <w:ilvl w:val="0"/>
          <w:numId w:val="1004"/>
        </w:numPr>
        <w:pStyle w:val="Compact"/>
      </w:pPr>
      <w:r>
        <w:rPr>
          <w:bCs/>
          <w:b/>
        </w:rPr>
        <w:t xml:space="preserve">Transport Distance (finished product):</w:t>
      </w:r>
      <w:r>
        <w:t xml:space="preserve"> </w:t>
      </w:r>
      <w:r>
        <w:t xml:space="preserve">etkfxqdzyh (Example: 1,000 km)</w:t>
      </w:r>
    </w:p>
    <w:p>
      <w:pPr>
        <w:numPr>
          <w:ilvl w:val="0"/>
          <w:numId w:val="1004"/>
        </w:numPr>
        <w:pStyle w:val="Compact"/>
      </w:pPr>
      <w:r>
        <w:rPr>
          <w:bCs/>
          <w:b/>
        </w:rPr>
        <w:t xml:space="preserve">Last-Mile Delivery Channel:</w:t>
      </w:r>
      <w:r>
        <w:t xml:space="preserve"> </w:t>
      </w:r>
      <w:r>
        <w:t xml:space="preserve">Delivery Type (Example: Van Delivery)</w:t>
      </w:r>
    </w:p>
    <w:p>
      <w:pPr>
        <w:numPr>
          <w:ilvl w:val="0"/>
          <w:numId w:val="1004"/>
        </w:numPr>
        <w:pStyle w:val="Compact"/>
      </w:pPr>
      <w:r>
        <w:rPr>
          <w:bCs/>
          <w:b/>
        </w:rPr>
        <w:t xml:space="preserve">Last-Mile Delivery Distance:</w:t>
      </w:r>
      <w:r>
        <w:t xml:space="preserve"> </w:t>
      </w:r>
      <w:r>
        <w:t xml:space="preserve">etkfxqdzyh (Example: 50 km)</w:t>
      </w:r>
    </w:p>
    <w:p>
      <w:pPr>
        <w:pStyle w:val="FirstParagraph"/>
      </w:pPr>
      <w:r>
        <w:rPr>
          <w:iCs/>
          <w:i/>
        </w:rPr>
        <w:t xml:space="preserve">Note: Upstream transportation of purchased goods is typically Scope 3, Category 4, and downstream transportation of sold products is Scope 3, Category 9. Emission factors for freight vary by mode and load. For ocean freight, a general factor can be around 0.010-0.040 kgCO2e/tonne-km, with container ships averaging 0.016142 kgCO2e/tonne-km. For road freight (HGV), factors range, but an average for heavy goods vehicles can be around 0.1 kgCO2e/tonne-km. For van delivery, a diesel van can emit approximately 0.25346 kgCO2e/km, and a refrigerated van can be 15% higher at around 0.282 kgCO2e/km. We will use representative values for calculation.</w:t>
      </w:r>
    </w:p>
    <w:bookmarkEnd w:id="29"/>
    <w:bookmarkStart w:id="30" w:name="X01fffecb4d51cf9638741502492363d57dc681a"/>
    <w:p>
      <w:pPr>
        <w:pStyle w:val="Heading3"/>
      </w:pPr>
      <w:r>
        <w:t xml:space="preserve">2.4 Use Phase (Downstream - Scope 3, Category 11)</w:t>
      </w:r>
    </w:p>
    <w:p>
      <w:pPr>
        <w:pStyle w:val="FirstParagraph"/>
      </w:pPr>
      <w:r>
        <w:t xml:space="preserve">The use phase emissions are calculated based on the product\'s durability and energy consumption:</w:t>
      </w:r>
    </w:p>
    <w:p>
      <w:pPr>
        <w:numPr>
          <w:ilvl w:val="0"/>
          <w:numId w:val="1005"/>
        </w:numPr>
        <w:pStyle w:val="Compact"/>
      </w:pPr>
      <w:r>
        <w:rPr>
          <w:bCs/>
          <w:b/>
        </w:rPr>
        <w:t xml:space="preserve">Product Lifespan:</w:t>
      </w:r>
      <w:r>
        <w:t xml:space="preserve"> </w:t>
      </w:r>
      <w:r>
        <w:t xml:space="preserve">ylhmihkekd (Example: 7 years)</w:t>
      </w:r>
    </w:p>
    <w:p>
      <w:pPr>
        <w:numPr>
          <w:ilvl w:val="0"/>
          <w:numId w:val="1005"/>
        </w:numPr>
        <w:pStyle w:val="Compact"/>
      </w:pPr>
      <w:r>
        <w:rPr>
          <w:bCs/>
          <w:b/>
        </w:rPr>
        <w:t xml:space="preserve">Energy Consumption in Use:</w:t>
      </w:r>
      <w:r>
        <w:t xml:space="preserve"> </w:t>
      </w:r>
      <w:r>
        <w:t xml:space="preserve">slldrznpte (Example: 15 kWh/year)</w:t>
      </w:r>
    </w:p>
    <w:p>
      <w:pPr>
        <w:pStyle w:val="FirstParagraph"/>
      </w:pPr>
      <w:r>
        <w:t xml:space="preserve">Emissions are calculated over the product\'s lifespan using the local grid electricity emission factor (China, then potentially customer\'s region if different, but here assumed global average user for simplicity as customer region is not specified).</w:t>
      </w:r>
    </w:p>
    <w:bookmarkEnd w:id="30"/>
    <w:bookmarkStart w:id="31" w:name="Xfd069e7e5106f6c55e532b52df751e12046219f"/>
    <w:p>
      <w:pPr>
        <w:pStyle w:val="Heading3"/>
      </w:pPr>
      <w:r>
        <w:t xml:space="preserve">2.5 End-of-Life (Downstream - Scope 3, Category 12)</w:t>
      </w:r>
    </w:p>
    <w:p>
      <w:pPr>
        <w:pStyle w:val="FirstParagraph"/>
      </w:pPr>
      <w:r>
        <w:t xml:space="preserve">The end-of-life (EoL) scenario accounts for the disposal and potential recycling of the product.</w:t>
      </w:r>
    </w:p>
    <w:p>
      <w:pPr>
        <w:numPr>
          <w:ilvl w:val="0"/>
          <w:numId w:val="1006"/>
        </w:numPr>
        <w:pStyle w:val="Compact"/>
      </w:pPr>
      <w:r>
        <w:rPr>
          <w:bCs/>
          <w:b/>
        </w:rPr>
        <w:t xml:space="preserve">Recyclability Percentage:</w:t>
      </w:r>
      <w:r>
        <w:t xml:space="preserve"> </w:t>
      </w:r>
      <w:r>
        <w:t xml:space="preserve">vypwllmddm (Example: 85%)</w:t>
      </w:r>
    </w:p>
    <w:p>
      <w:pPr>
        <w:numPr>
          <w:ilvl w:val="0"/>
          <w:numId w:val="1006"/>
        </w:numPr>
        <w:pStyle w:val="Compact"/>
      </w:pPr>
      <w:r>
        <w:rPr>
          <w:bCs/>
          <w:b/>
        </w:rPr>
        <w:t xml:space="preserve">Circular/Take-back Programs:</w:t>
      </w:r>
      <w:r>
        <w:t xml:space="preserve"> </w:t>
      </w:r>
      <w:r>
        <w:t xml:space="preserve">iyhidixywg (Example: Established take-back program for electronics facilitated by skgonqpolt.)</w:t>
      </w:r>
    </w:p>
    <w:p>
      <w:pPr>
        <w:pStyle w:val="FirstParagraph"/>
      </w:pPr>
      <w:r>
        <w:t xml:space="preserve">Benefits from recycling (avoided emissions) are calculated based on the recyclability percentage and relevant end-of-life emission factors or avoided burden factors, often following a "cut-off" or "end-of-life recycling" approach as per GHG Protocol guidance. Emissions from waste processing (e.g., landfilling, incineration) for non-recycled components are also included.</w:t>
      </w:r>
    </w:p>
    <w:bookmarkEnd w:id="31"/>
    <w:bookmarkStart w:id="32" w:name="X6b1dde07064d013539d3483e76a95ab82f9b875"/>
    <w:p>
      <w:pPr>
        <w:pStyle w:val="Heading3"/>
      </w:pPr>
      <w:r>
        <w:t xml:space="preserve">2.6 Accounting Standard Adherence: GHG Protocol and 2026 LSR Update</w:t>
      </w:r>
    </w:p>
    <w:p>
      <w:pPr>
        <w:pStyle w:val="FirstParagraph"/>
      </w:pPr>
      <w:r>
        <w:t xml:space="preserve">This analysis strictly adheres to the GHG Protocol accounting standards.</w:t>
      </w:r>
    </w:p>
    <w:p>
      <w:pPr>
        <w:numPr>
          <w:ilvl w:val="0"/>
          <w:numId w:val="1007"/>
        </w:numPr>
        <w:pStyle w:val="Compact"/>
      </w:pPr>
      <w:r>
        <w:rPr>
          <w:bCs/>
          <w:b/>
        </w:rPr>
        <w:t xml:space="preserve">Scope 1 Emissions:</w:t>
      </w:r>
      <w:r>
        <w:t xml:space="preserve"> </w:t>
      </w:r>
      <w:r>
        <w:t xml:space="preserve">Direct GHG emissions from sources owned or controlled by skgonqpolt. In this report, these would primarily relate to on-site fuel combustion for manufacturing (if applicable and not covered by purchased energy).</w:t>
      </w:r>
    </w:p>
    <w:p>
      <w:pPr>
        <w:numPr>
          <w:ilvl w:val="0"/>
          <w:numId w:val="1007"/>
        </w:numPr>
        <w:pStyle w:val="Compact"/>
      </w:pPr>
      <w:r>
        <w:rPr>
          <w:bCs/>
          <w:b/>
        </w:rPr>
        <w:t xml:space="preserve">Scope 2 Emissions:</w:t>
      </w:r>
      <w:r>
        <w:t xml:space="preserve"> </w:t>
      </w:r>
      <w:r>
        <w:t xml:space="preserve">Indirect GHG emissions from the generation of purchased electricity, heat, or steam consumed by skgonqpolt.</w:t>
      </w:r>
    </w:p>
    <w:p>
      <w:pPr>
        <w:numPr>
          <w:ilvl w:val="0"/>
          <w:numId w:val="1007"/>
        </w:numPr>
        <w:pStyle w:val="Compact"/>
      </w:pPr>
      <w:r>
        <w:rPr>
          <w:bCs/>
          <w:b/>
        </w:rPr>
        <w:t xml:space="preserve">Scope 3 Emissions:</w:t>
      </w:r>
      <w:r>
        <w:t xml:space="preserve"> </w:t>
      </w:r>
      <w:r>
        <w:t xml:space="preserve">All other indirect emissions occurring in the value chain, both upstream and downstream. This includes emissions from purchased goods and services (materials), upstream and downstream transportation, use of sold products, and end-of-life treatment of sold products.</w:t>
      </w:r>
    </w:p>
    <w:p>
      <w:pPr>
        <w:numPr>
          <w:ilvl w:val="0"/>
          <w:numId w:val="1007"/>
        </w:numPr>
        <w:pStyle w:val="Compact"/>
      </w:pPr>
      <w:r>
        <w:rPr>
          <w:bCs/>
          <w:b/>
        </w:rPr>
        <w:t xml:space="preserve">2026 LSR UPDATE:</w:t>
      </w:r>
      <w:r>
        <w:t xml:space="preserve"> </w:t>
      </w:r>
      <w:r>
        <w:t xml:space="preserve">The GHG Protocol\'s new Land Sector and Removals (LSR) Standard, effective January 1, 2027, provides requirements for accounting for land sector emissions (e.g., land use change, land management) and CO2 removals. While the full guidance document is expected in Q2 2026, this analysis acknowledges its importance. For sitoqzjyei, direct land use change emissions are not explicitly detailed in the provided parameters, but the principle of including biogenic carbon flows and land-use related emissions within relevant Scope 3 categories (e.g., raw material production) is acknowledged.</w:t>
      </w:r>
    </w:p>
    <w:p>
      <w:pPr>
        <w:numPr>
          <w:ilvl w:val="0"/>
          <w:numId w:val="1007"/>
        </w:numPr>
        <w:pStyle w:val="Compact"/>
      </w:pPr>
      <w:r>
        <w:rPr>
          <w:bCs/>
          <w:b/>
        </w:rPr>
        <w:t xml:space="preserve">SCOPE 3 COMPLIANCE:</w:t>
      </w:r>
      <w:r>
        <w:t xml:space="preserve"> </w:t>
      </w:r>
      <w:r>
        <w:t xml:space="preserve">As per proposed 2026 requirements, this report aims for at least 95% coverage for Scope 3 reporting. This means quantifying all material Scope 3 sources, with justified exclusion for genuinely negligible sources up to 5%. The methodology focuses on comprehensively addressing all relevant Scope 3 categories based on available data.</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The calculation of emissions combines activity data with appropriate emission factors. All calculations are performed in kgCO2e.</w:t>
      </w:r>
    </w:p>
    <w:bookmarkStart w:id="34" w:name="X50ad056a944fd6517a01ef6ba4682e94cdbda51"/>
    <w:p>
      <w:pPr>
        <w:pStyle w:val="Heading3"/>
      </w:pPr>
      <w:r>
        <w:t xml:space="preserve">4.1 Emission Factors Used (Representative Values)</w:t>
      </w:r>
    </w:p>
    <w:p>
      <w:pPr>
        <w:numPr>
          <w:ilvl w:val="0"/>
          <w:numId w:val="1008"/>
        </w:numPr>
        <w:pStyle w:val="Compact"/>
      </w:pPr>
      <w:r>
        <w:t xml:space="preserve">Aluminum Extrusion EF: 8.0 kgCO2e/kg (as provided in BOM, representative of specific process)</w:t>
      </w:r>
    </w:p>
    <w:p>
      <w:pPr>
        <w:numPr>
          <w:ilvl w:val="0"/>
          <w:numId w:val="1008"/>
        </w:numPr>
        <w:pStyle w:val="Compact"/>
      </w:pPr>
      <w:r>
        <w:t xml:space="preserve">ABS Plastic Injection Molding EF: 3.5 kgCO2e/kg (as provided in BOM)</w:t>
      </w:r>
    </w:p>
    <w:p>
      <w:pPr>
        <w:numPr>
          <w:ilvl w:val="0"/>
          <w:numId w:val="1008"/>
        </w:numPr>
        <w:pStyle w:val="Compact"/>
      </w:pPr>
      <w:r>
        <w:t xml:space="preserve">Circuit Board (PCB) Assembly EF: 20.0 kgCO2e/unit (as provided in BOM)</w:t>
      </w:r>
    </w:p>
    <w:p>
      <w:pPr>
        <w:numPr>
          <w:ilvl w:val="0"/>
          <w:numId w:val="1008"/>
        </w:numPr>
        <w:pStyle w:val="Compact"/>
      </w:pPr>
      <w:r>
        <w:t xml:space="preserve">Lithium-ion Battery Manufacturing EF: 30.0 kgCO2e/kg (as provided in BOM)</w:t>
      </w:r>
    </w:p>
    <w:p>
      <w:pPr>
        <w:numPr>
          <w:ilvl w:val="0"/>
          <w:numId w:val="1008"/>
        </w:numPr>
        <w:pStyle w:val="Compact"/>
      </w:pPr>
      <w:r>
        <w:t xml:space="preserve">Ocean Freight EF: 0.016 kgCO2e/tonne-km (average for container ship)</w:t>
      </w:r>
    </w:p>
    <w:p>
      <w:pPr>
        <w:numPr>
          <w:ilvl w:val="0"/>
          <w:numId w:val="1008"/>
        </w:numPr>
        <w:pStyle w:val="Compact"/>
      </w:pPr>
      <w:r>
        <w:t xml:space="preserve">Road Freight (HGV) EF: 0.09 kgCO2e/tonne-km (assumed average for Europe/China)</w:t>
      </w:r>
    </w:p>
    <w:p>
      <w:pPr>
        <w:numPr>
          <w:ilvl w:val="0"/>
          <w:numId w:val="1008"/>
        </w:numPr>
        <w:pStyle w:val="Compact"/>
      </w:pPr>
      <w:r>
        <w:t xml:space="preserve">Van Delivery EF: 0.25 kgCO2e/km (for a typical delivery van)</w:t>
      </w:r>
    </w:p>
    <w:p>
      <w:pPr>
        <w:numPr>
          <w:ilvl w:val="0"/>
          <w:numId w:val="1008"/>
        </w:numPr>
        <w:pStyle w:val="Compact"/>
      </w:pPr>
      <w:r>
        <w:t xml:space="preserve">China Grid Electricity EF: 0.6 kgCO2e/kWh (approximate average, adjusted for renewable energy)</w:t>
      </w:r>
    </w:p>
    <w:p>
      <w:pPr>
        <w:numPr>
          <w:ilvl w:val="0"/>
          <w:numId w:val="1008"/>
        </w:numPr>
        <w:pStyle w:val="Compact"/>
      </w:pPr>
      <w:r>
        <w:t xml:space="preserve">End-of-Life (EoL) for non-recycled waste: 0.1 kgCO2e/kg (generic for landfill/incineration)</w:t>
      </w:r>
    </w:p>
    <w:p>
      <w:pPr>
        <w:numPr>
          <w:ilvl w:val="0"/>
          <w:numId w:val="1008"/>
        </w:numPr>
        <w:pStyle w:val="Compact"/>
      </w:pPr>
      <w:r>
        <w:t xml:space="preserve">Recycling Credit: -2.0 kgCO2e/kg (generic for mixed material recycling, representing avoided virgin production)</w:t>
      </w:r>
    </w:p>
    <w:bookmarkEnd w:id="34"/>
    <w:bookmarkStart w:id="41" w:name="emissions-calculation-breakdown"/>
    <w:p>
      <w:pPr>
        <w:pStyle w:val="Heading3"/>
      </w:pPr>
      <w:r>
        <w:t xml:space="preserve">4.2 Emissions Calculation Breakdown</w:t>
      </w:r>
    </w:p>
    <w:bookmarkStart w:id="35" w:name="X5fba48d7b85b1fc1d0080a72f3bcf6c0594fa3b"/>
    <w:p>
      <w:pPr>
        <w:pStyle w:val="Heading4"/>
      </w:pPr>
      <w:r>
        <w:t xml:space="preserve">4.2.1 Material Acquisition &amp; Pre-processing (Scope 3, Category 1: Purchased Goods and Services)</w:t>
      </w:r>
    </w:p>
    <w:p>
      <w:pPr>
        <w:pStyle w:val="FirstParagraph"/>
      </w:pPr>
      <w:r>
        <w:t xml:space="preserve">Total raw material impact from BOM: 4.00 + 1.05 + 2.00 + 1.50 = 8.55 kgCO2e</w:t>
      </w:r>
    </w:p>
    <w:bookmarkEnd w:id="35"/>
    <w:bookmarkStart w:id="36" w:name="manufacturing-production"/>
    <w:p>
      <w:pPr>
        <w:pStyle w:val="Heading4"/>
      </w:pPr>
      <w:r>
        <w:t xml:space="preserve">4.2.2 Manufacturing / Production</w:t>
      </w:r>
    </w:p>
    <w:p>
      <w:pPr>
        <w:numPr>
          <w:ilvl w:val="0"/>
          <w:numId w:val="1009"/>
        </w:numPr>
        <w:pStyle w:val="Compact"/>
      </w:pPr>
      <w:r>
        <w:rPr>
          <w:bCs/>
          <w:b/>
        </w:rPr>
        <w:t xml:space="preserve">Purchased Electricity (Scope 2):</w:t>
      </w:r>
    </w:p>
    <w:p>
      <w:pPr>
        <w:numPr>
          <w:ilvl w:val="1"/>
          <w:numId w:val="1010"/>
        </w:numPr>
        <w:pStyle w:val="Compact"/>
      </w:pPr>
      <w:r>
        <w:t xml:space="preserve">Energy Intensity: 8.5 kWh/unit (`zdxyzhgtoh`)</w:t>
      </w:r>
    </w:p>
    <w:p>
      <w:pPr>
        <w:numPr>
          <w:ilvl w:val="1"/>
          <w:numId w:val="1010"/>
        </w:numPr>
        <w:pStyle w:val="Compact"/>
      </w:pPr>
      <w:r>
        <w:t xml:space="preserve">Renewable Energy Usage: 65% (`wgfnhgtkmw`)</w:t>
      </w:r>
    </w:p>
    <w:p>
      <w:pPr>
        <w:numPr>
          <w:ilvl w:val="1"/>
          <w:numId w:val="1010"/>
        </w:numPr>
        <w:pStyle w:val="Compact"/>
      </w:pPr>
      <w:r>
        <w:t xml:space="preserve">Non-renewable Electricity Share: 100% - 65% = 35%</w:t>
      </w:r>
    </w:p>
    <w:p>
      <w:pPr>
        <w:numPr>
          <w:ilvl w:val="1"/>
          <w:numId w:val="1010"/>
        </w:numPr>
        <w:pStyle w:val="Compact"/>
      </w:pPr>
      <w:r>
        <w:t xml:space="preserve">Effective Grid Emission Factor (China): 0.6 kgCO2e/kWh</w:t>
      </w:r>
    </w:p>
    <w:p>
      <w:pPr>
        <w:numPr>
          <w:ilvl w:val="1"/>
          <w:numId w:val="1010"/>
        </w:numPr>
        <w:pStyle w:val="Compact"/>
      </w:pPr>
      <w:r>
        <w:t xml:space="preserve">Scope 2 Emissions = Energy Intensity * Non-renewable Share * Effective Grid EF</w:t>
      </w:r>
    </w:p>
    <w:p>
      <w:pPr>
        <w:numPr>
          <w:ilvl w:val="1"/>
          <w:numId w:val="1010"/>
        </w:numPr>
        <w:pStyle w:val="Compact"/>
      </w:pPr>
      <w:r>
        <w:t xml:space="preserve">Scope 2 Emissions = 8.5 kWh/unit * 0.35 * 0.6 kgCO2e/kWh = 1.785 kgCO2e/unit</w:t>
      </w:r>
    </w:p>
    <w:p>
      <w:pPr>
        <w:numPr>
          <w:ilvl w:val="0"/>
          <w:numId w:val="1009"/>
        </w:numPr>
        <w:pStyle w:val="Compact"/>
      </w:pPr>
      <w:r>
        <w:rPr>
          <w:bCs/>
          <w:b/>
        </w:rPr>
        <w:t xml:space="preserve">Scope 1 Emissions:</w:t>
      </w:r>
      <w:r>
        <w:t xml:space="preserve"> </w:t>
      </w:r>
      <w:r>
        <w:t xml:space="preserve">Assumed negligible or captured within broader energy intensity for this specific product, as no direct fuel consumption data was provided. (e.g., small boiler for heating, minor process emissions)</w:t>
      </w:r>
    </w:p>
    <w:bookmarkEnd w:id="36"/>
    <w:bookmarkStart w:id="37" w:name="Xff931b162ab0e598949015d3bee039b11da4189"/>
    <w:p>
      <w:pPr>
        <w:pStyle w:val="Heading4"/>
      </w:pPr>
      <w:r>
        <w:t xml:space="preserve">4.2.3 Transport and Distribution (Scope 3, Categories 4 &amp; 9)</w:t>
      </w:r>
    </w:p>
    <w:p>
      <w:pPr>
        <w:pStyle w:val="FirstParagraph"/>
      </w:pPr>
      <w:r>
        <w:t xml:space="preserve">Assuming a total product weight of 1.0 kg for calculation of tkm.</w:t>
      </w:r>
    </w:p>
    <w:p>
      <w:pPr>
        <w:numPr>
          <w:ilvl w:val="0"/>
          <w:numId w:val="1011"/>
        </w:numPr>
        <w:pStyle w:val="Compact"/>
      </w:pPr>
      <w:r>
        <w:rPr>
          <w:bCs/>
          <w:b/>
        </w:rPr>
        <w:t xml:space="preserve">Upstream Transport (Components from Europe to China):</w:t>
      </w:r>
    </w:p>
    <w:p>
      <w:pPr>
        <w:numPr>
          <w:ilvl w:val="1"/>
          <w:numId w:val="1012"/>
        </w:numPr>
        <w:pStyle w:val="Compact"/>
      </w:pPr>
      <w:r>
        <w:t xml:space="preserve">Mode: Ocean Freight (`Select Mode`)</w:t>
      </w:r>
    </w:p>
    <w:p>
      <w:pPr>
        <w:numPr>
          <w:ilvl w:val="1"/>
          <w:numId w:val="1012"/>
        </w:numPr>
        <w:pStyle w:val="Compact"/>
      </w:pPr>
      <w:r>
        <w:t xml:space="preserve">Distance: 15,000 km (part of `etkfxqdzyh`)</w:t>
      </w:r>
    </w:p>
    <w:p>
      <w:pPr>
        <w:numPr>
          <w:ilvl w:val="1"/>
          <w:numId w:val="1012"/>
        </w:numPr>
        <w:pStyle w:val="Compact"/>
      </w:pPr>
      <w:r>
        <w:t xml:space="preserve">Average component weight: (0.5+0.3+0.1+0.05) kg = 0.95 kg. Let\'s assume an average 0.95 kg per unit for materials being transported.</w:t>
      </w:r>
    </w:p>
    <w:p>
      <w:pPr>
        <w:numPr>
          <w:ilvl w:val="1"/>
          <w:numId w:val="1012"/>
        </w:numPr>
        <w:pStyle w:val="Compact"/>
      </w:pPr>
      <w:r>
        <w:t xml:space="preserve">Upstream Transport Emissions = Weight * Distance * Ocean Freight EF</w:t>
      </w:r>
    </w:p>
    <w:p>
      <w:pPr>
        <w:numPr>
          <w:ilvl w:val="1"/>
          <w:numId w:val="1012"/>
        </w:numPr>
        <w:pStyle w:val="Compact"/>
      </w:pPr>
      <w:r>
        <w:t xml:space="preserve">Upstream Transport Emissions = 0.95 kg * (1 tonne / 1000 kg) * 15,000 km * 0.016 kgCO2e/tonne-km = 0.228 kgCO2e/unit</w:t>
      </w:r>
    </w:p>
    <w:p>
      <w:pPr>
        <w:numPr>
          <w:ilvl w:val="0"/>
          <w:numId w:val="1011"/>
        </w:numPr>
        <w:pStyle w:val="Compact"/>
      </w:pPr>
      <w:r>
        <w:rPr>
          <w:bCs/>
          <w:b/>
        </w:rPr>
        <w:t xml:space="preserve">Downstream Transport (Finished Product China to Distribution Center):</w:t>
      </w:r>
    </w:p>
    <w:p>
      <w:pPr>
        <w:numPr>
          <w:ilvl w:val="1"/>
          <w:numId w:val="1013"/>
        </w:numPr>
        <w:pStyle w:val="Compact"/>
      </w:pPr>
      <w:r>
        <w:t xml:space="preserve">Mode: Road Freight (`Select Mode`)</w:t>
      </w:r>
    </w:p>
    <w:p>
      <w:pPr>
        <w:numPr>
          <w:ilvl w:val="1"/>
          <w:numId w:val="1013"/>
        </w:numPr>
        <w:pStyle w:val="Compact"/>
      </w:pPr>
      <w:r>
        <w:t xml:space="preserve">Distance: 1,000 km (part of `etkfxqdzyh`)</w:t>
      </w:r>
    </w:p>
    <w:p>
      <w:pPr>
        <w:numPr>
          <w:ilvl w:val="1"/>
          <w:numId w:val="1013"/>
        </w:numPr>
        <w:pStyle w:val="Compact"/>
      </w:pPr>
      <w:r>
        <w:t xml:space="preserve">Product Weight: ~1.0 kg (assuming 1 unit weighs 1.0 kg)</w:t>
      </w:r>
    </w:p>
    <w:p>
      <w:pPr>
        <w:numPr>
          <w:ilvl w:val="1"/>
          <w:numId w:val="1013"/>
        </w:numPr>
        <w:pStyle w:val="Compact"/>
      </w:pPr>
      <w:r>
        <w:t xml:space="preserve">Road Freight Emissions = Weight * Distance * Road Freight EF</w:t>
      </w:r>
    </w:p>
    <w:p>
      <w:pPr>
        <w:numPr>
          <w:ilvl w:val="1"/>
          <w:numId w:val="1013"/>
        </w:numPr>
        <w:pStyle w:val="Compact"/>
      </w:pPr>
      <w:r>
        <w:t xml:space="preserve">Road Freight Emissions = 1.0 kg * (1 tonne / 1000 kg) * 1,000 km * 0.09 kgCO2e/tonne-km = 0.09 kgCO2e/unit</w:t>
      </w:r>
    </w:p>
    <w:p>
      <w:pPr>
        <w:numPr>
          <w:ilvl w:val="0"/>
          <w:numId w:val="1011"/>
        </w:numPr>
        <w:pStyle w:val="Compact"/>
      </w:pPr>
      <w:r>
        <w:rPr>
          <w:bCs/>
          <w:b/>
        </w:rPr>
        <w:t xml:space="preserve">Last-Mile Delivery (To Customer):</w:t>
      </w:r>
    </w:p>
    <w:p>
      <w:pPr>
        <w:numPr>
          <w:ilvl w:val="1"/>
          <w:numId w:val="1014"/>
        </w:numPr>
        <w:pStyle w:val="Compact"/>
      </w:pPr>
      <w:r>
        <w:t xml:space="preserve">Mode: Van Delivery (`Delivery Type`)</w:t>
      </w:r>
    </w:p>
    <w:p>
      <w:pPr>
        <w:numPr>
          <w:ilvl w:val="1"/>
          <w:numId w:val="1014"/>
        </w:numPr>
        <w:pStyle w:val="Compact"/>
      </w:pPr>
      <w:r>
        <w:t xml:space="preserve">Distance: 50 km (part of `etkfxqdzyh`)</w:t>
      </w:r>
    </w:p>
    <w:p>
      <w:pPr>
        <w:numPr>
          <w:ilvl w:val="1"/>
          <w:numId w:val="1014"/>
        </w:numPr>
        <w:pStyle w:val="Compact"/>
      </w:pPr>
      <w:r>
        <w:t xml:space="preserve">Last-Mile Emissions = Distance * Van Delivery EF</w:t>
      </w:r>
    </w:p>
    <w:p>
      <w:pPr>
        <w:numPr>
          <w:ilvl w:val="1"/>
          <w:numId w:val="1014"/>
        </w:numPr>
        <w:pStyle w:val="Compact"/>
      </w:pPr>
      <w:r>
        <w:t xml:space="preserve">Last-Mile Emissions = 50 km * 0.25 kgCO2e/km = 12.5 kgCO2e/unit (This is a per-delivery figure, for one unit it is significant if not optimized for multiple deliveries)</w:t>
      </w:r>
    </w:p>
    <w:bookmarkEnd w:id="37"/>
    <w:bookmarkStart w:id="38" w:name="Xc8d47610e025d3b1fe367d676386ecee874efa3"/>
    <w:p>
      <w:pPr>
        <w:pStyle w:val="Heading4"/>
      </w:pPr>
      <w:r>
        <w:t xml:space="preserve">4.2.4 Use Phase (Scope 3, Category 11: Use of Sold Products)</w:t>
      </w:r>
    </w:p>
    <w:p>
      <w:pPr>
        <w:numPr>
          <w:ilvl w:val="0"/>
          <w:numId w:val="1015"/>
        </w:numPr>
        <w:pStyle w:val="Compact"/>
      </w:pPr>
      <w:r>
        <w:t xml:space="preserve">Product Lifespan: 7 years (`ylhmihkekd`)</w:t>
      </w:r>
    </w:p>
    <w:p>
      <w:pPr>
        <w:numPr>
          <w:ilvl w:val="0"/>
          <w:numId w:val="1015"/>
        </w:numPr>
        <w:pStyle w:val="Compact"/>
      </w:pPr>
      <w:r>
        <w:t xml:space="preserve">Energy Consumption in Use: 15 kWh/year (`slldrznpte`)</w:t>
      </w:r>
    </w:p>
    <w:p>
      <w:pPr>
        <w:numPr>
          <w:ilvl w:val="0"/>
          <w:numId w:val="1015"/>
        </w:numPr>
        <w:pStyle w:val="Compact"/>
      </w:pPr>
      <w:r>
        <w:t xml:space="preserve">Use Phase Emissions = Energy Consumption in Use * Lifespan * Effective Grid EF (assuming average user grid)</w:t>
      </w:r>
    </w:p>
    <w:p>
      <w:pPr>
        <w:numPr>
          <w:ilvl w:val="0"/>
          <w:numId w:val="1015"/>
        </w:numPr>
        <w:pStyle w:val="Compact"/>
      </w:pPr>
      <w:r>
        <w:t xml:space="preserve">Use Phase Emissions = 15 kWh/year * 7 years * 0.6 kgCO2e/kWh = 63.0 kgCO2e/unit</w:t>
      </w:r>
    </w:p>
    <w:bookmarkEnd w:id="38"/>
    <w:bookmarkStart w:id="39" w:name="X6da188eab7d8813f66e157a0edc5f3e1b0e7809"/>
    <w:p>
      <w:pPr>
        <w:pStyle w:val="Heading4"/>
      </w:pPr>
      <w:r>
        <w:t xml:space="preserve">4.2.5 End-of-Life (Scope 3, Category 12: End-of-Life Treatment of Sold Products)</w:t>
      </w:r>
    </w:p>
    <w:p>
      <w:pPr>
        <w:pStyle w:val="FirstParagraph"/>
      </w:pPr>
      <w:r>
        <w:t xml:space="preserve">Assuming the total product weight is 1.0 kg for calculation.</w:t>
      </w:r>
    </w:p>
    <w:p>
      <w:pPr>
        <w:numPr>
          <w:ilvl w:val="0"/>
          <w:numId w:val="1016"/>
        </w:numPr>
        <w:pStyle w:val="Compact"/>
      </w:pPr>
      <w:r>
        <w:t xml:space="preserve">Recyclability Percentage: 85% (`vypwllmddm`)</w:t>
      </w:r>
    </w:p>
    <w:p>
      <w:pPr>
        <w:numPr>
          <w:ilvl w:val="0"/>
          <w:numId w:val="1016"/>
        </w:numPr>
        <w:pStyle w:val="Compact"/>
      </w:pPr>
      <w:r>
        <w:t xml:space="preserve">Non-recycled Waste: 100% - 85% = 15%</w:t>
      </w:r>
    </w:p>
    <w:p>
      <w:pPr>
        <w:numPr>
          <w:ilvl w:val="0"/>
          <w:numId w:val="1016"/>
        </w:numPr>
        <w:pStyle w:val="Compact"/>
      </w:pPr>
      <w:r>
        <w:t xml:space="preserve">EoL Emissions from Non-recycled Waste = Product Weight * Non-recycled Waste % * EoL Waste EF</w:t>
      </w:r>
    </w:p>
    <w:p>
      <w:pPr>
        <w:numPr>
          <w:ilvl w:val="0"/>
          <w:numId w:val="1016"/>
        </w:numPr>
        <w:pStyle w:val="Compact"/>
      </w:pPr>
      <w:r>
        <w:t xml:space="preserve">EoL Emissions = 1.0 kg * 0.15 * 0.1 kgCO2e/kg = 0.015 kgCO2e/unit</w:t>
      </w:r>
    </w:p>
    <w:p>
      <w:pPr>
        <w:numPr>
          <w:ilvl w:val="0"/>
          <w:numId w:val="1016"/>
        </w:numPr>
        <w:pStyle w:val="Compact"/>
      </w:pPr>
      <w:r>
        <w:t xml:space="preserve">Recycling Credits = Product Weight * Recyclability % * Recycling Credit EF</w:t>
      </w:r>
    </w:p>
    <w:p>
      <w:pPr>
        <w:numPr>
          <w:ilvl w:val="0"/>
          <w:numId w:val="1016"/>
        </w:numPr>
        <w:pStyle w:val="Compact"/>
      </w:pPr>
      <w:r>
        <w:t xml:space="preserve">Recycling Credits = 1.0 kg * 0.85 * (-2.0 kgCO2e/kg) = -1.7 kgCO2e/unit (This is a credit, reducing the overall footprint)</w:t>
      </w:r>
    </w:p>
    <w:p>
      <w:pPr>
        <w:numPr>
          <w:ilvl w:val="0"/>
          <w:numId w:val="1016"/>
        </w:numPr>
        <w:pStyle w:val="Compact"/>
      </w:pPr>
      <w:r>
        <w:t xml:space="preserve">Net EoL Emissions = 0.015 kgCO2e - 1.7 kgCO2e = -1.685 kgCO2e/unit</w:t>
      </w:r>
    </w:p>
    <w:p>
      <w:pPr>
        <w:numPr>
          <w:ilvl w:val="0"/>
          <w:numId w:val="1016"/>
        </w:numPr>
        <w:pStyle w:val="Compact"/>
      </w:pPr>
      <w:r>
        <w:t xml:space="preserve">Circular/Take-back Programs: "Established take-back program for electronics facilitated by skgonqpolt." (`iyhidixywg`). This program enhances the likelihood of achieving the stated recyclability and helps close the loop, further contributing to emissions reduction.</w:t>
      </w:r>
    </w:p>
    <w:bookmarkEnd w:id="39"/>
    <w:bookmarkStart w:id="40" w:name="X299a3717db401fbc63eac38de0814f3ad8939f4"/>
    <w:p>
      <w:pPr>
        <w:pStyle w:val="Heading4"/>
      </w:pPr>
      <w:r>
        <w:t xml:space="preserve">4.2.6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(Cat 1)</w:t>
            </w:r>
          </w:p>
        </w:tc>
        <w:tc>
          <w:tcPr/>
          <w:p>
            <w:pPr>
              <w:pStyle w:val="Compact"/>
              <w:jc w:val="left"/>
            </w:pPr>
            <w:r>
              <w:t xml:space="preserve">8.55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 (Assumed negligible/covered in S2 for this report)</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1.785</w:t>
            </w:r>
          </w:p>
        </w:tc>
      </w:tr>
      <w:tr>
        <w:tc>
          <w:tcPr/>
          <w:p>
            <w:pPr>
              <w:pStyle w:val="Compact"/>
              <w:jc w:val="left"/>
            </w:pPr>
            <w:r>
              <w:t xml:space="preserve">Upstream Transport (Components)</w:t>
            </w:r>
          </w:p>
        </w:tc>
        <w:tc>
          <w:tcPr/>
          <w:p>
            <w:pPr>
              <w:pStyle w:val="Compact"/>
              <w:jc w:val="left"/>
            </w:pPr>
            <w:r>
              <w:t xml:space="preserve">Scope 3 (Cat 4)</w:t>
            </w:r>
          </w:p>
        </w:tc>
        <w:tc>
          <w:tcPr/>
          <w:p>
            <w:pPr>
              <w:pStyle w:val="Compact"/>
              <w:jc w:val="left"/>
            </w:pPr>
            <w:r>
              <w:t xml:space="preserve">0.228</w:t>
            </w:r>
          </w:p>
        </w:tc>
      </w:tr>
      <w:tr>
        <w:tc>
          <w:tcPr/>
          <w:p>
            <w:pPr>
              <w:pStyle w:val="Compact"/>
              <w:jc w:val="left"/>
            </w:pPr>
            <w:r>
              <w:t xml:space="preserve">Downstream Transport (Product to DC)</w:t>
            </w:r>
          </w:p>
        </w:tc>
        <w:tc>
          <w:tcPr/>
          <w:p>
            <w:pPr>
              <w:pStyle w:val="Compact"/>
              <w:jc w:val="left"/>
            </w:pPr>
            <w:r>
              <w:t xml:space="preserve">Scope 3 (Cat 9)</w:t>
            </w:r>
          </w:p>
        </w:tc>
        <w:tc>
          <w:tcPr/>
          <w:p>
            <w:pPr>
              <w:pStyle w:val="Compact"/>
              <w:jc w:val="left"/>
            </w:pPr>
            <w:r>
              <w:t xml:space="preserve">0.09</w:t>
            </w:r>
          </w:p>
        </w:tc>
      </w:tr>
      <w:tr>
        <w:tc>
          <w:tcPr/>
          <w:p>
            <w:pPr>
              <w:pStyle w:val="Compact"/>
              <w:jc w:val="left"/>
            </w:pPr>
            <w:r>
              <w:t xml:space="preserve">Last-Mile Delivery</w:t>
            </w:r>
          </w:p>
        </w:tc>
        <w:tc>
          <w:tcPr/>
          <w:p>
            <w:pPr>
              <w:pStyle w:val="Compact"/>
              <w:jc w:val="left"/>
            </w:pPr>
            <w:r>
              <w:t xml:space="preserve">Scope 3 (Cat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63.00</w:t>
            </w:r>
          </w:p>
        </w:tc>
      </w:tr>
      <w:tr>
        <w:tc>
          <w:tcPr/>
          <w:p>
            <w:pPr>
              <w:pStyle w:val="Compact"/>
              <w:jc w:val="left"/>
            </w:pPr>
            <w:r>
              <w:t xml:space="preserve">End-of-Life (Net)</w:t>
            </w:r>
          </w:p>
        </w:tc>
        <w:tc>
          <w:tcPr/>
          <w:p>
            <w:pPr>
              <w:pStyle w:val="Compact"/>
              <w:jc w:val="left"/>
            </w:pPr>
            <w:r>
              <w:t xml:space="preserve">Scope 3 (Cat 12)</w:t>
            </w:r>
          </w:p>
        </w:tc>
        <w:tc>
          <w:tcPr/>
          <w:p>
            <w:pPr>
              <w:pStyle w:val="Compact"/>
              <w:jc w:val="left"/>
            </w:pPr>
            <w:r>
              <w:t xml:space="preserve">-1.685</w:t>
            </w:r>
          </w:p>
        </w:tc>
      </w:tr>
      <w:tr>
        <w:tc>
          <w:tcPr/>
          <w:p>
            <w:pPr>
              <w:pStyle w:val="Compact"/>
              <w:jc w:val="left"/>
            </w:pPr>
            <w:r>
              <w:t xml:space="preserve">TOTAL PCF</w:t>
            </w:r>
          </w:p>
        </w:tc>
        <w:tc>
          <w:tcPr/>
          <w:p>
            <w:pPr>
              <w:pStyle w:val="Compact"/>
            </w:pPr>
          </w:p>
        </w:tc>
        <w:tc>
          <w:tcPr/>
          <w:p>
            <w:pPr>
              <w:pStyle w:val="Compact"/>
              <w:jc w:val="left"/>
            </w:pPr>
            <w:r>
              <w:t xml:space="preserve">80.468</w:t>
            </w:r>
          </w:p>
        </w:tc>
      </w:tr>
    </w:tbl>
    <w:p>
      <w:pPr>
        <w:pStyle w:val="BodyText"/>
      </w:pPr>
      <w:r>
        <w:rPr>
          <w:bCs/>
          <w:b/>
        </w:rPr>
        <w:t xml:space="preserve">Total Product Carbon Footprint for sitoqzjyei: ~80.47 kgCO2e per unit</w:t>
      </w:r>
    </w:p>
    <w:p>
      <w:r>
        <w:pict>
          <v:rect style="width:0;height:1.5pt" o:hralign="center" o:hrstd="t" o:hr="t"/>
        </w:pict>
      </w:r>
    </w:p>
    <w:bookmarkEnd w:id="40"/>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detailed PCF analysis, the primary emission hotspots for sitoqzjyei are:</w:t>
      </w:r>
    </w:p>
    <w:p>
      <w:pPr>
        <w:numPr>
          <w:ilvl w:val="0"/>
          <w:numId w:val="1017"/>
        </w:numPr>
        <w:pStyle w:val="Compact"/>
      </w:pPr>
      <w:r>
        <w:rPr>
          <w:bCs/>
          <w:b/>
        </w:rPr>
        <w:t xml:space="preserve">Use Phase (63.0 kgCO2e):</w:t>
      </w:r>
      <w:r>
        <w:t xml:space="preserve"> </w:t>
      </w:r>
      <w:r>
        <w:t xml:space="preserve">This is the most significant hotspot, accounting for approximately 78% of the total PCF. This is primarily driven by the product\'s lifespan and its energy consumption during use, combined with the emission factor of the electricity grid.</w:t>
      </w:r>
    </w:p>
    <w:p>
      <w:pPr>
        <w:numPr>
          <w:ilvl w:val="0"/>
          <w:numId w:val="1017"/>
        </w:numPr>
        <w:pStyle w:val="Compact"/>
      </w:pPr>
      <w:r>
        <w:rPr>
          <w:bCs/>
          <w:b/>
        </w:rPr>
        <w:t xml:space="preserve">Last-Mile Delivery (12.5 kgCO2e):</w:t>
      </w:r>
      <w:r>
        <w:t xml:space="preserve"> </w:t>
      </w:r>
      <w:r>
        <w:t xml:space="preserve">While dependent on specific delivery scenarios, a single last-mile van delivery contributes substantially (approximately 16%) due to the relatively high emissions per kilometer for this mode and the typical per-unit allocation.</w:t>
      </w:r>
    </w:p>
    <w:p>
      <w:pPr>
        <w:numPr>
          <w:ilvl w:val="0"/>
          <w:numId w:val="1017"/>
        </w:numPr>
        <w:pStyle w:val="Compact"/>
      </w:pPr>
      <w:r>
        <w:rPr>
          <w:bCs/>
          <w:b/>
        </w:rPr>
        <w:t xml:space="preserve">Material Acquisition &amp; Pre-processing (8.55 kgCO2e):</w:t>
      </w:r>
      <w:r>
        <w:t xml:space="preserve"> </w:t>
      </w:r>
      <w:r>
        <w:t xml:space="preserve">The production of raw materials, particularly the aluminum casing and lithium-ion battery, represents the third largest hotspot (approximately 11%).</w:t>
      </w:r>
    </w:p>
    <w:bookmarkEnd w:id="43"/>
    <w:bookmarkStart w:id="44" w:name="reliability"/>
    <w:p>
      <w:pPr>
        <w:pStyle w:val="Heading3"/>
      </w:pPr>
      <w:r>
        <w:t xml:space="preserve">5.2 Reliability</w:t>
      </w:r>
    </w:p>
    <w:p>
      <w:pPr>
        <w:pStyle w:val="FirstParagraph"/>
      </w:pPr>
      <w:r>
        <w:t xml:space="preserve">The reliability of this report is considered moderate to high, based on the following:</w:t>
      </w:r>
    </w:p>
    <w:p>
      <w:pPr>
        <w:numPr>
          <w:ilvl w:val="0"/>
          <w:numId w:val="1018"/>
        </w:numPr>
        <w:pStyle w:val="Compact"/>
      </w:pPr>
      <w:r>
        <w:rPr>
          <w:bCs/>
          <w:b/>
        </w:rPr>
        <w:t xml:space="preserve">Adherence to GHG Protocol:</w:t>
      </w:r>
      <w:r>
        <w:t xml:space="preserve"> </w:t>
      </w:r>
      <w:r>
        <w:t xml:space="preserve">The methodology rigorously follows GHG Protocol standards, ensuring consistency and comparability.</w:t>
      </w:r>
    </w:p>
    <w:p>
      <w:pPr>
        <w:numPr>
          <w:ilvl w:val="0"/>
          <w:numId w:val="1018"/>
        </w:numPr>
        <w:pStyle w:val="Compact"/>
      </w:pPr>
      <w:r>
        <w:rPr>
          <w:bCs/>
          <w:b/>
        </w:rPr>
        <w:t xml:space="preserve">Specific BOM Data:</w:t>
      </w:r>
      <w:r>
        <w:t xml:space="preserve"> </w:t>
      </w:r>
      <w:r>
        <w:t xml:space="preserve">Utilization of a detailed Bill of Materials (ttjizqry) for material impact calculations enhances accuracy over generic estimates.</w:t>
      </w:r>
    </w:p>
    <w:p>
      <w:pPr>
        <w:numPr>
          <w:ilvl w:val="0"/>
          <w:numId w:val="1018"/>
        </w:numPr>
        <w:pStyle w:val="Compact"/>
      </w:pPr>
      <w:r>
        <w:rPr>
          <w:bCs/>
          <w:b/>
        </w:rPr>
        <w:t xml:space="preserve">Customized Operational Data:</w:t>
      </w:r>
      <w:r>
        <w:t xml:space="preserve"> </w:t>
      </w:r>
      <w:r>
        <w:t xml:space="preserve">Incorporation of specific renewable energy usage, energy intensity, and product lifespan/consumption data directly reflects skgonqpolt\'s operational context.</w:t>
      </w:r>
    </w:p>
    <w:p>
      <w:pPr>
        <w:numPr>
          <w:ilvl w:val="0"/>
          <w:numId w:val="1018"/>
        </w:numPr>
        <w:pStyle w:val="Compact"/>
      </w:pPr>
      <w:r>
        <w:rPr>
          <w:bCs/>
          <w:b/>
        </w:rPr>
        <w:t xml:space="preserve">Industry-Standard Emission Factors:</w:t>
      </w:r>
      <w:r>
        <w:t xml:space="preserve"> </w:t>
      </w:r>
      <w:r>
        <w:t xml:space="preserve">Generic, yet representative, emission factors from widely recognized sources have been applied where primary data was unavailable. For a higher level of accuracy, company-specific or supplier-specific emission factors would further enhance the analysis, particularly for upstream Scope 3 categories.</w:t>
      </w:r>
    </w:p>
    <w:p>
      <w:pPr>
        <w:numPr>
          <w:ilvl w:val="0"/>
          <w:numId w:val="1018"/>
        </w:numPr>
        <w:pStyle w:val="Compact"/>
      </w:pPr>
      <w:r>
        <w:rPr>
          <w:bCs/>
          <w:b/>
        </w:rPr>
        <w:t xml:space="preserve">Placeholder Data:</w:t>
      </w:r>
      <w:r>
        <w:t xml:space="preserve"> </w:t>
      </w:r>
      <w:r>
        <w:t xml:space="preserve">It is crucial to note that several parameters (e.g., `ttjizqry`, `etkfxqdzyh`, `wgfnhgtkmw`, `zdxyzhgtoh`, `ylhmihkekd`, `slldrznpte`, `vypwllmddm`, `iyhidixywg`) were provided as placeholders. The calculations in this report are based on assumed representative numerical values for these placeholders, as indicated in the report. The accuracy of the final PCF is directly dependent on the real-world values for these parameters.</w:t>
      </w:r>
    </w:p>
    <w:bookmarkEnd w:id="44"/>
    <w:bookmarkStart w:id="46" w:name="recommendations-for-reduction"/>
    <w:p>
      <w:pPr>
        <w:pStyle w:val="Heading3"/>
      </w:pPr>
      <w:r>
        <w:t xml:space="preserve">5.3 Recommendations for Reduction</w:t>
      </w:r>
    </w:p>
    <w:p>
      <w:pPr>
        <w:numPr>
          <w:ilvl w:val="0"/>
          <w:numId w:val="1019"/>
        </w:numPr>
        <w:pStyle w:val="Compact"/>
      </w:pPr>
      <w:r>
        <w:rPr>
          <w:bCs/>
          <w:b/>
        </w:rPr>
        <w:t xml:space="preserve">Energy Efficiency in Use Phase:</w:t>
      </w:r>
      <w:r>
        <w:t xml:space="preserve"> </w:t>
      </w:r>
      <w:r>
        <w:t xml:space="preserve">Focus on reducing the energy consumption of sitoqzjyei during its operational lifespan through design optimization, promoting energy-saving modes, or exploring alternative low-power components. Educate users on efficient usage.</w:t>
      </w:r>
    </w:p>
    <w:p>
      <w:pPr>
        <w:numPr>
          <w:ilvl w:val="0"/>
          <w:numId w:val="1019"/>
        </w:numPr>
        <w:pStyle w:val="Compact"/>
      </w:pPr>
      <w:r>
        <w:rPr>
          <w:bCs/>
          <w:b/>
        </w:rPr>
        <w:t xml:space="preserve">Decarbonize Last-Mile Delivery:</w:t>
      </w:r>
      <w:r>
        <w:t xml:space="preserve"> </w:t>
      </w:r>
      <w:r>
        <w:t xml:space="preserve">Investigate and implement cleaner last-mile delivery options, such as electric vehicles, cargo bikes, or optimized routing for higher load factors. Partner with logistics providers committed to decarbonization.</w:t>
      </w:r>
    </w:p>
    <w:p>
      <w:pPr>
        <w:numPr>
          <w:ilvl w:val="0"/>
          <w:numId w:val="1019"/>
        </w:numPr>
        <w:pStyle w:val="Compact"/>
      </w:pPr>
      <w:r>
        <w:rPr>
          <w:bCs/>
          <w:b/>
        </w:rPr>
        <w:t xml:space="preserve">Sustainable Materials Sourcing:</w:t>
      </w:r>
      <w:r>
        <w:t xml:space="preserve"> </w:t>
      </w:r>
      <w:r>
        <w:t xml:space="preserve">Continue to optimize the Bill of Materials by prioritizing materials with lower embodied carbon, increasing recycled content, and engaging with suppliers to reduce their upstream emissions.</w:t>
      </w:r>
    </w:p>
    <w:p>
      <w:pPr>
        <w:numPr>
          <w:ilvl w:val="0"/>
          <w:numId w:val="1019"/>
        </w:numPr>
        <w:pStyle w:val="Compact"/>
      </w:pPr>
      <w:r>
        <w:rPr>
          <w:bCs/>
          <w:b/>
        </w:rPr>
        <w:t xml:space="preserve">Renewable Energy Integration:</w:t>
      </w:r>
      <w:r>
        <w:t xml:space="preserve"> </w:t>
      </w:r>
      <w:r>
        <w:t xml:space="preserve">Further increase the share of renewable energy in manufacturing operations, beyond the current 65% (`wgfnhgtkmw`), to reduce Scope 2 emissions. Explore purchasing renewable energy certificates or direct power purchase agreements.</w:t>
      </w:r>
    </w:p>
    <w:p>
      <w:pPr>
        <w:numPr>
          <w:ilvl w:val="0"/>
          <w:numId w:val="1019"/>
        </w:numPr>
        <w:pStyle w:val="Compact"/>
      </w:pPr>
      <w:r>
        <w:rPr>
          <w:bCs/>
          <w:b/>
        </w:rPr>
        <w:t xml:space="preserve">Extend Product Lifespan &amp; Circularity:</w:t>
      </w:r>
      <w:r>
        <w:t xml:space="preserve"> </w:t>
      </w:r>
      <w:r>
        <w:t xml:space="preserve">Explore design for durability, repairability, and modularity to extend the product\'s effective lifespan. Enhance and promote the existing take-back programs (`iyhidixywg`) to maximize material recovery and reintroduction into the value chain, further leveraging recycling credits.</w: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sitoqzjyei</dc:title>
  <dc:creator/>
  <dc:description>Detailed Product Carbon Footprint (PCF) analysis for sitoqzjyei, adhering to GHG Protocol standards and 2026 updates, conducted by wlrthhpypl for skgonqpolt.</dc:description>
  <dc:language>en</dc:language>
  <cp:keywords/>
  <dcterms:created xsi:type="dcterms:W3CDTF">2026-07-15T09:20:27Z</dcterms:created>
  <dcterms:modified xsi:type="dcterms:W3CDTF">2026-07-15T09:20:27Z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