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siimlpqxvx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siimlpqxvx</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dqjphwyple</w:t>
      </w:r>
    </w:p>
    <w:p>
      <w:pPr>
        <w:pStyle w:val="BodyText"/>
      </w:pPr>
      <w:r>
        <w:t xml:space="preserve">Senior Sustainability Consultant:</w:t>
      </w:r>
      <w:r>
        <w:t xml:space="preserve"> </w:t>
      </w:r>
      <w:r>
        <w:rPr>
          <w:bCs/>
          <w:b/>
        </w:rPr>
        <w:t xml:space="preserve">yzzzdhfswh</w:t>
      </w:r>
    </w:p>
    <w:p>
      <w:pPr>
        <w:pStyle w:val="BodyText"/>
      </w:pPr>
      <w:r>
        <w:t xml:space="preserve">This report is generated based on available data and industry standards, providing a high-level analysis of the product\'s carbon footprint.</w:t>
      </w:r>
    </w:p>
    <w:bookmarkEnd w:id="20"/>
    <w:bookmarkStart w:id="21" w:name="X7d51b001b15edad8a7bd37c90dd997be78f4708"/>
    <w:p>
      <w:pPr>
        <w:pStyle w:val="Heading1"/>
      </w:pPr>
      <w:r>
        <w:t xml:space="preserve">Product Carbon Footprint Report for siimlpqxvx</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Product Carbon Footprint (PCF) analysis, conducted by yzzzdhfswh, Senior Sustainability Consultant, for dqjphwyple\'s product siimlpqxvx, adheres strictly to the GHG Protocol. The report details the greenhouse gas emissions across the product\'s lifecycle, from raw material acquisition to end-of-life, focusing on identifying emission hotspots and promoting sustainable practices. The analysis incorporates the 2026 Land Sector and Removals (LSR) Standard and ensures at least 95% coverage for Scope 3 reporting, in line with current requirements.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 siimlpqxvx has been calculated following the five-step methodology prescribed by the GHG Protocol Product Life Cycle Accounting and Reporting Standard. This comprehensive approach ensures transparency, accuracy, and comparability of the reported emissions. The analysis considers a cradle-to-grave perspective, capturing emissions across the entire value chain.</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siimlpqxvx</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(with extensions to cover full lifecycle phases for a comprehensive cradle-to-grave assessment)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Product Life Cycle Accounting and Reporting Standard</w:t>
      </w:r>
    </w:p>
    <w:p>
      <w:pPr>
        <w:numPr>
          <w:ilvl w:val="0"/>
          <w:numId w:val="1004"/>
        </w:numPr>
        <w:pStyle w:val="Compact"/>
      </w:pPr>
    </w:p>
    <w:p>
      <w:pPr>
        <w:numPr>
          <w:ilvl w:val="1"/>
          <w:numId w:val="1005"/>
        </w:numPr>
        <w:pStyle w:val="Compact"/>
      </w:pPr>
      <w:r>
        <w:rPr>
          <w:bCs/>
          <w:b/>
        </w:rPr>
        <w:t xml:space="preserve">Scope 1 (Direct Emissions):</w:t>
      </w:r>
      <w:r>
        <w:t xml:space="preserve"> </w:t>
      </w:r>
      <w:r>
        <w:t xml:space="preserve">Emissions from sources owned or controlled by dqjphwyple (e.g., on-site manufacturing processes if applicable). For a \'factory_gate\' boundary, this primarily relates to direct energy consumption and process emissions at the manufacturing site.</w:t>
      </w:r>
    </w:p>
    <w:p>
      <w:pPr>
        <w:numPr>
          <w:ilvl w:val="1"/>
          <w:numId w:val="1005"/>
        </w:numPr>
        <w:pStyle w:val="Compact"/>
      </w:pPr>
      <w:r>
        <w:rPr>
          <w:bCs/>
          <w:b/>
        </w:rPr>
        <w:t xml:space="preserve">Scope 2 (Energy Indirect Emissions):</w:t>
      </w:r>
      <w:r>
        <w:t xml:space="preserve"> </w:t>
      </w:r>
      <w:r>
        <w:t xml:space="preserve">Emissions from the generation of purchased electricity, heat, or steam consumed by dqjphwyple.</w:t>
      </w:r>
    </w:p>
    <w:p>
      <w:pPr>
        <w:numPr>
          <w:ilvl w:val="1"/>
          <w:numId w:val="1005"/>
        </w:numPr>
        <w:pStyle w:val="Compact"/>
      </w:pPr>
      <w:r>
        <w:rPr>
          <w:bCs/>
          <w:b/>
        </w:rPr>
        <w:t xml:space="preserve">Scope 3 (Other Indirect Emissions):</w:t>
      </w:r>
      <w:r>
        <w:t xml:space="preserve"> </w:t>
      </w:r>
      <w:r>
        <w:t xml:space="preserve">All other indirect emissions that occur in the value chain of dqjphwyple, both upstream and downstream. This includes raw material extraction, transportation, use-phase, and end-of-life treatment. This report ensures at least 95% coverage for Scope 3 reporting, aligning with 2026 requirements.</w:t>
      </w:r>
    </w:p>
    <w:p>
      <w:r>
        <w:pict>
          <v:rect style="width:0;height:1.5pt" o:hralign="center" o:hrstd="t" o:hr="t"/>
        </w:pict>
      </w:r>
    </w:p>
    <w:bookmarkEnd w:id="26"/>
    <w:bookmarkEnd w:id="27"/>
    <w:bookmarkStart w:id="33" w:name="Xd9a70c659bfcd295e1cdb6c2eb7ab1139a4e8cf"/>
    <w:p>
      <w:pPr>
        <w:pStyle w:val="Heading2"/>
      </w:pPr>
      <w:r>
        <w:t xml:space="preserve">2. Lifecycle Mapping and Data Collection (LCI Inventory Stages)</w:t>
      </w:r>
    </w:p>
    <w:p>
      <w:pPr>
        <w:pStyle w:val="FirstParagraph"/>
      </w:pPr>
      <w:r>
        <w:t xml:space="preserve">The lifecycle of siimlpqxvx is mapped across key stages, and data is collected for each, including detailed material inputs (Bill of Materials) and energy consumption.</w:t>
      </w:r>
    </w:p>
    <w:bookmarkStart w:id="28" w:name="X54d8d21cbaa020d9f4168c67c8af00d64e0aa28"/>
    <w:p>
      <w:pPr>
        <w:pStyle w:val="Heading3"/>
      </w:pPr>
      <w:r>
        <w:t xml:space="preserve">2.1. Raw Material Acquisition &amp; Pre-processing (Scope 3, Category 1 - Purchased Goods and Services)</w:t>
      </w:r>
    </w:p>
    <w:p>
      <w:pPr>
        <w:pStyle w:val="FirstParagraph"/>
      </w:pPr>
      <w:r>
        <w:t xml:space="preserve">The following Bill of Materials (BOM) provides a high-accuracy material impact calculation, utilizing specified quantities and emission factors. The "Total Carbon" values are directly used as provided, representing the cradle-to-gate emissions for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Emissions from Raw Materials:</w:t>
      </w:r>
      <w:r>
        <w:t xml:space="preserve"> </w:t>
      </w:r>
      <w:r>
        <w:t xml:space="preserve">53.8 kgCO2e</w:t>
      </w:r>
    </w:p>
    <w:bookmarkEnd w:id="28"/>
    <w:bookmarkStart w:id="29" w:name="production-phase-scope-1-2"/>
    <w:p>
      <w:pPr>
        <w:pStyle w:val="Heading3"/>
      </w:pPr>
      <w:r>
        <w:t xml:space="preserve">2.2. Production Phase (Scope 1 &amp; 2)</w:t>
      </w:r>
    </w:p>
    <w:p>
      <w:pPr>
        <w:numPr>
          <w:ilvl w:val="0"/>
          <w:numId w:val="1006"/>
        </w:numPr>
        <w:pStyle w:val="Compact"/>
      </w:pPr>
      <w:r>
        <w:rPr>
          <w:bCs/>
          <w:b/>
        </w:rPr>
        <w:t xml:space="preserve">Energy Intensity (kWh/unit):</w:t>
      </w:r>
      <w:r>
        <w:t xml:space="preserve"> </w:t>
      </w:r>
      <w:r>
        <w:t xml:space="preserve">20 kWh/unit</w:t>
      </w:r>
    </w:p>
    <w:p>
      <w:pPr>
        <w:numPr>
          <w:ilvl w:val="0"/>
          <w:numId w:val="1006"/>
        </w:numPr>
        <w:pStyle w:val="Compact"/>
      </w:pPr>
      <w:r>
        <w:rPr>
          <w:bCs/>
          <w:b/>
        </w:rPr>
        <w:t xml:space="preserve">Renewable Energy Usage:</w:t>
      </w:r>
      <w:r>
        <w:t xml:space="preserve"> </w:t>
      </w:r>
      <w:r>
        <w:t xml:space="preserve">75%</w:t>
      </w:r>
    </w:p>
    <w:bookmarkEnd w:id="29"/>
    <w:bookmarkStart w:id="30" w:name="X9dd159c0c2d8775fa5aaeaf3df90a465fe401f0"/>
    <w:p>
      <w:pPr>
        <w:pStyle w:val="Heading3"/>
      </w:pPr>
      <w:r>
        <w:t xml:space="preserve">2.3. Transport &amp; Distribution (Scope 3, Category 4 - Upstream Transportation and Distribution &amp; Category 9 - Downstream Transportation and Distribution)</w:t>
      </w:r>
    </w:p>
    <w:p>
      <w:pPr>
        <w:numPr>
          <w:ilvl w:val="0"/>
          <w:numId w:val="1007"/>
        </w:numPr>
        <w:pStyle w:val="Compact"/>
      </w:pPr>
      <w:r>
        <w:rPr>
          <w:bCs/>
          <w:b/>
        </w:rPr>
        <w:t xml:space="preserve">Primary Transport Mode (Outbound):</w:t>
      </w:r>
      <w:r>
        <w:t xml:space="preserve"> </w:t>
      </w:r>
      <w:r>
        <w:t xml:space="preserve">Ocean Freight (example)</w:t>
      </w:r>
    </w:p>
    <w:p>
      <w:pPr>
        <w:numPr>
          <w:ilvl w:val="0"/>
          <w:numId w:val="1007"/>
        </w:numPr>
        <w:pStyle w:val="Compact"/>
      </w:pPr>
      <w:r>
        <w:rPr>
          <w:bCs/>
          <w:b/>
        </w:rPr>
        <w:t xml:space="preserve">Transport Distance (Outbound):</w:t>
      </w:r>
      <w:r>
        <w:t xml:space="preserve"> </w:t>
      </w:r>
      <w:r>
        <w:t xml:space="preserve">10000 km (example)</w:t>
      </w:r>
    </w:p>
    <w:p>
      <w:pPr>
        <w:numPr>
          <w:ilvl w:val="0"/>
          <w:numId w:val="1007"/>
        </w:numPr>
        <w:pStyle w:val="Compact"/>
      </w:pPr>
      <w:r>
        <w:rPr>
          <w:bCs/>
          <w:b/>
        </w:rPr>
        <w:t xml:space="preserve">Last-Mile Delivery Channel:</w:t>
      </w:r>
      <w:r>
        <w:t xml:space="preserve"> </w:t>
      </w:r>
      <w:r>
        <w:t xml:space="preserve">Road Freight (Van) (example)</w:t>
      </w:r>
    </w:p>
    <w:p>
      <w:pPr>
        <w:numPr>
          <w:ilvl w:val="0"/>
          <w:numId w:val="1007"/>
        </w:numPr>
        <w:pStyle w:val="Compact"/>
      </w:pPr>
      <w:r>
        <w:rPr>
          <w:bCs/>
          <w:b/>
        </w:rPr>
        <w:t xml:space="preserve">Last-Mile Delivery Distance:</w:t>
      </w:r>
      <w:r>
        <w:t xml:space="preserve"> </w:t>
      </w:r>
      <w:r>
        <w:t xml:space="preserve">500 km (example)</w:t>
      </w:r>
    </w:p>
    <w:bookmarkEnd w:id="30"/>
    <w:bookmarkStart w:id="31" w:name="Xe72837a908ad344b018b3447ff671a3dec19470"/>
    <w:p>
      <w:pPr>
        <w:pStyle w:val="Heading3"/>
      </w:pPr>
      <w:r>
        <w:t xml:space="preserve">2.4. Use Phase (Scope 3, Category 11 - Use of Sold Products)</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bookmarkEnd w:id="31"/>
    <w:bookmarkStart w:id="32" w:name="X52591b9f3823aa20f226ac9cd90c58a3fc971e2"/>
    <w:p>
      <w:pPr>
        <w:pStyle w:val="Heading3"/>
      </w:pPr>
      <w:r>
        <w:t xml:space="preserve">2.5. End-of-Life (EoL) Phase (Scope 3, Category 12 - End-of-Life Treatment of Sold Products)</w:t>
      </w:r>
    </w:p>
    <w:p>
      <w:pPr>
        <w:numPr>
          <w:ilvl w:val="0"/>
          <w:numId w:val="1009"/>
        </w:numPr>
        <w:pStyle w:val="Compact"/>
      </w:pPr>
      <w:r>
        <w:rPr>
          <w:bCs/>
          <w:b/>
        </w:rPr>
        <w:t xml:space="preserve">Recyclability Percentage:</w:t>
      </w:r>
      <w:r>
        <w:t xml:space="preserve"> </w:t>
      </w:r>
      <w:r>
        <w:t xml:space="preserve">80%</w:t>
      </w:r>
    </w:p>
    <w:p>
      <w:pPr>
        <w:numPr>
          <w:ilvl w:val="0"/>
          <w:numId w:val="1009"/>
        </w:numPr>
        <w:pStyle w:val="Compact"/>
      </w:pPr>
      <w:r>
        <w:rPr>
          <w:bCs/>
          <w:b/>
        </w:rPr>
        <w:t xml:space="preserve">Circular/Take-back Programs:</w:t>
      </w:r>
      <w:r>
        <w:t xml:space="preserve"> </w:t>
      </w:r>
      <w:r>
        <w:t xml:space="preserve">Yes, end-of-life recycling program</w:t>
      </w:r>
    </w:p>
    <w:p>
      <w:r>
        <w:pict>
          <v:rect style="width:0;height:1.5pt" o:hralign="center" o:hrstd="t" o:hr="t"/>
        </w:pict>
      </w:r>
    </w:p>
    <w:bookmarkEnd w:id="32"/>
    <w:bookmarkEnd w:id="33"/>
    <w:bookmarkStart w:id="43" w:name="emission-calculation"/>
    <w:p>
      <w:pPr>
        <w:pStyle w:val="Heading2"/>
      </w:pPr>
      <w:r>
        <w:t xml:space="preserve">3. Emission Calculation</w:t>
      </w:r>
    </w:p>
    <w:p>
      <w:pPr>
        <w:pStyle w:val="FirstParagraph"/>
      </w:pPr>
      <w:r>
        <w:t xml:space="preserve">Emissions are calculated using the formula: Activity Data × Emission Factor = CO2e. Industry-standard emission factors are applied, primarily sourced from publicly available databases such as DEFRA and GLEC Framework, along with specific values provided.</w:t>
      </w:r>
    </w:p>
    <w:bookmarkStart w:id="34" w:name="X803f1a2d294c2df7ca399abbc08b79c0f9fca01"/>
    <w:p>
      <w:pPr>
        <w:pStyle w:val="Heading3"/>
      </w:pPr>
      <w:r>
        <w:t xml:space="preserve">3.1. Raw Material Acquisition &amp; Pre-processing (Scope 3, Category 1)</w:t>
      </w:r>
    </w:p>
    <w:p>
      <w:pPr>
        <w:pStyle w:val="FirstParagraph"/>
      </w:pPr>
      <w:r>
        <w:t xml:space="preserve">Based on the provided BOM, the initial cradle-to-gate emissions for materials are:</w:t>
      </w:r>
    </w:p>
    <w:p>
      <w:pPr>
        <w:numPr>
          <w:ilvl w:val="0"/>
          <w:numId w:val="1010"/>
        </w:numPr>
        <w:pStyle w:val="Compact"/>
      </w:pPr>
      <w:r>
        <w:t xml:space="preserve">Aluminum Alloy: 42.5 kgCO2e</w:t>
      </w:r>
    </w:p>
    <w:p>
      <w:pPr>
        <w:numPr>
          <w:ilvl w:val="0"/>
          <w:numId w:val="1010"/>
        </w:numPr>
        <w:pStyle w:val="Compact"/>
      </w:pPr>
      <w:r>
        <w:t xml:space="preserve">ABS Plastic: 6.0 kgCO2e</w:t>
      </w:r>
    </w:p>
    <w:p>
      <w:pPr>
        <w:numPr>
          <w:ilvl w:val="0"/>
          <w:numId w:val="1010"/>
        </w:numPr>
        <w:pStyle w:val="Compact"/>
      </w:pPr>
      <w:r>
        <w:t xml:space="preserve">Circuit Board (PCB): 5.0 kgCO2e</w:t>
      </w:r>
    </w:p>
    <w:p>
      <w:pPr>
        <w:numPr>
          <w:ilvl w:val="0"/>
          <w:numId w:val="1010"/>
        </w:numPr>
        <w:pStyle w:val="Compact"/>
      </w:pPr>
      <w:r>
        <w:t xml:space="preserve">Packaging Cardboard: 0.3 kgCO2e</w:t>
      </w:r>
    </w:p>
    <w:p>
      <w:pPr>
        <w:pStyle w:val="FirstParagraph"/>
      </w:pPr>
      <w:r>
        <w:rPr>
          <w:bCs/>
          <w:b/>
        </w:rPr>
        <w:t xml:space="preserve">Total Raw Material Emissions: 53.8 kgCO2e</w:t>
      </w:r>
    </w:p>
    <w:bookmarkEnd w:id="34"/>
    <w:bookmarkStart w:id="35" w:name="production-phase-scope-2"/>
    <w:p>
      <w:pPr>
        <w:pStyle w:val="Heading3"/>
      </w:pPr>
      <w:r>
        <w:t xml:space="preserve">3.2. Production Phase (Scope 2)</w:t>
      </w:r>
    </w:p>
    <w:p>
      <w:pPr>
        <w:pStyle w:val="FirstParagraph"/>
      </w:pPr>
      <w:r>
        <w:t xml:space="preserve">The production process is assumed to consume electricity. The geographic scope for production is China.</w:t>
      </w:r>
    </w:p>
    <w:p>
      <w:pPr>
        <w:numPr>
          <w:ilvl w:val="0"/>
          <w:numId w:val="1011"/>
        </w:numPr>
        <w:pStyle w:val="Compact"/>
      </w:pPr>
      <w:r>
        <w:t xml:space="preserve">Energy Intensity: 20 kWh/unit</w:t>
      </w:r>
    </w:p>
    <w:p>
      <w:pPr>
        <w:numPr>
          <w:ilvl w:val="0"/>
          <w:numId w:val="1011"/>
        </w:numPr>
        <w:pStyle w:val="Compact"/>
      </w:pPr>
      <w:r>
        <w:t xml:space="preserve">Renewable Energy Usage: 75%</w:t>
      </w:r>
    </w:p>
    <w:p>
      <w:pPr>
        <w:numPr>
          <w:ilvl w:val="0"/>
          <w:numId w:val="1011"/>
        </w:numPr>
        <w:pStyle w:val="Compact"/>
      </w:pPr>
      <w:r>
        <w:t xml:space="preserve">Non-renewable energy: 20 kWh/unit * (1 - 0.75) = 5 kWh/unit</w:t>
      </w:r>
    </w:p>
    <w:p>
      <w:pPr>
        <w:numPr>
          <w:ilvl w:val="0"/>
          <w:numId w:val="1011"/>
        </w:numPr>
        <w:pStyle w:val="Compact"/>
      </w:pPr>
      <w:r>
        <w:t xml:space="preserve">China Grid Mix Emission Factor: 0.6205 kgCO2e/kWh</w:t>
      </w:r>
    </w:p>
    <w:p>
      <w:pPr>
        <w:numPr>
          <w:ilvl w:val="0"/>
          <w:numId w:val="1011"/>
        </w:numPr>
        <w:pStyle w:val="Compact"/>
      </w:pPr>
      <w:r>
        <w:rPr>
          <w:bCs/>
          <w:b/>
        </w:rPr>
        <w:t xml:space="preserve">Production Emissions:</w:t>
      </w:r>
      <w:r>
        <w:t xml:space="preserve"> </w:t>
      </w:r>
      <w:r>
        <w:t xml:space="preserve">5 kWh/unit * 0.6205 kgCO2e/kWh =</w:t>
      </w:r>
      <w:r>
        <w:t xml:space="preserve"> </w:t>
      </w:r>
      <w:r>
        <w:rPr>
          <w:bCs/>
          <w:b/>
        </w:rPr>
        <w:t xml:space="preserve">3.1025 kgCO2e</w:t>
      </w:r>
    </w:p>
    <w:bookmarkEnd w:id="35"/>
    <w:bookmarkStart w:id="39" w:name="X267a9d4e01632d4209f60d4182f3de86db7a7f0"/>
    <w:p>
      <w:pPr>
        <w:pStyle w:val="Heading3"/>
      </w:pPr>
      <w:r>
        <w:t xml:space="preserve">3.3. Transport &amp; Distribution (Scope 3, Category 4 &amp; 9)</w:t>
      </w:r>
    </w:p>
    <w:p>
      <w:pPr>
        <w:pStyle w:val="FirstParagraph"/>
      </w:pPr>
      <w:r>
        <w:t xml:space="preserve">Total product weight (including packaging) for transport: 5 kg (Al) + 2 kg (ABS) + 0.5 kg (PCB assumption) + 0.2 kg (Cardboard) = 7.7 kg.</w:t>
      </w:r>
    </w:p>
    <w:bookmarkStart w:id="36" w:name="X5b45005b4c7dc44e001fbc338afc0fa1c5d6c88"/>
    <w:p>
      <w:pPr>
        <w:pStyle w:val="Heading4"/>
      </w:pPr>
      <w:r>
        <w:t xml:space="preserve">3.3.1. Upstream Transportation (Raw Materials to Factory)</w:t>
      </w:r>
    </w:p>
    <w:p>
      <w:pPr>
        <w:pStyle w:val="FirstParagraph"/>
      </w:pPr>
      <w:r>
        <w:t xml:space="preserve">Assuming an average of 1000 km road transport for raw materials (7.7 kg total) to the factory in China.</w:t>
      </w:r>
    </w:p>
    <w:p>
      <w:pPr>
        <w:numPr>
          <w:ilvl w:val="0"/>
          <w:numId w:val="1012"/>
        </w:numPr>
        <w:pStyle w:val="Compact"/>
      </w:pPr>
      <w:r>
        <w:t xml:space="preserve">Distance: 1000 km</w:t>
      </w:r>
    </w:p>
    <w:p>
      <w:pPr>
        <w:numPr>
          <w:ilvl w:val="0"/>
          <w:numId w:val="1012"/>
        </w:numPr>
        <w:pStyle w:val="Compact"/>
      </w:pPr>
      <w:r>
        <w:t xml:space="preserve">Weight: 7.7 kg (0.0077 tonnes)</w:t>
      </w:r>
    </w:p>
    <w:p>
      <w:pPr>
        <w:numPr>
          <w:ilvl w:val="0"/>
          <w:numId w:val="1012"/>
        </w:numPr>
        <w:pStyle w:val="Compact"/>
      </w:pPr>
      <w:r>
        <w:t xml:space="preserve">Tonne-Kilometers (tkm): 0.0077 tonnes * 1000 km = 7.7 tkm</w:t>
      </w:r>
    </w:p>
    <w:p>
      <w:pPr>
        <w:numPr>
          <w:ilvl w:val="0"/>
          <w:numId w:val="1012"/>
        </w:numPr>
        <w:pStyle w:val="Compact"/>
      </w:pPr>
      <w:r>
        <w:t xml:space="preserve">Road Freight Emission Factor: 0.07 kgCO2e/tkm (representing a general truck/van)</w:t>
      </w:r>
    </w:p>
    <w:p>
      <w:pPr>
        <w:numPr>
          <w:ilvl w:val="0"/>
          <w:numId w:val="1012"/>
        </w:numPr>
        <w:pStyle w:val="Compact"/>
      </w:pPr>
      <w:r>
        <w:rPr>
          <w:bCs/>
          <w:b/>
        </w:rPr>
        <w:t xml:space="preserve">Upstream Transport Emissions:</w:t>
      </w:r>
      <w:r>
        <w:t xml:space="preserve"> </w:t>
      </w:r>
      <w:r>
        <w:t xml:space="preserve">7.7 tkm * 0.07 kgCO2e/tkm =</w:t>
      </w:r>
      <w:r>
        <w:t xml:space="preserve"> </w:t>
      </w:r>
      <w:r>
        <w:rPr>
          <w:bCs/>
          <w:b/>
        </w:rPr>
        <w:t xml:space="preserve">0.539 kgCO2e</w:t>
      </w:r>
    </w:p>
    <w:bookmarkEnd w:id="36"/>
    <w:bookmarkStart w:id="37" w:name="X1d93485e9e37bc0ca46d75711ed842b77c04e52"/>
    <w:p>
      <w:pPr>
        <w:pStyle w:val="Heading4"/>
      </w:pPr>
      <w:r>
        <w:t xml:space="preserve">3.3.2. Downstream Transportation (Finished Product from China to Europe)</w:t>
      </w:r>
    </w:p>
    <w:p>
      <w:pPr>
        <w:pStyle w:val="FirstParagraph"/>
      </w:pPr>
      <w:r>
        <w:t xml:space="preserve">Primary transport mode is Ocean Freight from China to Europe for the finished product.</w:t>
      </w:r>
    </w:p>
    <w:p>
      <w:pPr>
        <w:numPr>
          <w:ilvl w:val="0"/>
          <w:numId w:val="1013"/>
        </w:numPr>
        <w:pStyle w:val="Compact"/>
      </w:pPr>
      <w:r>
        <w:t xml:space="preserve">Distance: 10000 km</w:t>
      </w:r>
    </w:p>
    <w:p>
      <w:pPr>
        <w:numPr>
          <w:ilvl w:val="0"/>
          <w:numId w:val="1013"/>
        </w:numPr>
        <w:pStyle w:val="Compact"/>
      </w:pPr>
      <w:r>
        <w:t xml:space="preserve">Weight: 7.7 kg (0.0077 tonnes)</w:t>
      </w:r>
    </w:p>
    <w:p>
      <w:pPr>
        <w:numPr>
          <w:ilvl w:val="0"/>
          <w:numId w:val="1013"/>
        </w:numPr>
        <w:pStyle w:val="Compact"/>
      </w:pPr>
      <w:r>
        <w:t xml:space="preserve">Tonne-Kilometers (tkm): 0.0077 tonnes * 10000 km = 77 tkm</w:t>
      </w:r>
    </w:p>
    <w:p>
      <w:pPr>
        <w:numPr>
          <w:ilvl w:val="0"/>
          <w:numId w:val="1013"/>
        </w:numPr>
        <w:pStyle w:val="Compact"/>
      </w:pPr>
      <w:r>
        <w:t xml:space="preserve">Ocean Freight Emission Factor: 0.016 kgCO2e/tkm</w:t>
      </w:r>
    </w:p>
    <w:p>
      <w:pPr>
        <w:numPr>
          <w:ilvl w:val="0"/>
          <w:numId w:val="1013"/>
        </w:numPr>
        <w:pStyle w:val="Compact"/>
      </w:pPr>
      <w:r>
        <w:rPr>
          <w:bCs/>
          <w:b/>
        </w:rPr>
        <w:t xml:space="preserve">Outbound Transport Emissions:</w:t>
      </w:r>
      <w:r>
        <w:t xml:space="preserve"> </w:t>
      </w:r>
      <w:r>
        <w:t xml:space="preserve">77 tkm * 0.016 kgCO2e/tkm =</w:t>
      </w:r>
      <w:r>
        <w:t xml:space="preserve"> </w:t>
      </w:r>
      <w:r>
        <w:rPr>
          <w:bCs/>
          <w:b/>
        </w:rPr>
        <w:t xml:space="preserve">1.232 kgCO2e</w:t>
      </w:r>
    </w:p>
    <w:bookmarkEnd w:id="37"/>
    <w:bookmarkStart w:id="38" w:name="last-mile-delivery"/>
    <w:p>
      <w:pPr>
        <w:pStyle w:val="Heading4"/>
      </w:pPr>
      <w:r>
        <w:t xml:space="preserve">3.3.3. Last-Mile Delivery</w:t>
      </w:r>
    </w:p>
    <w:p>
      <w:pPr>
        <w:pStyle w:val="FirstParagraph"/>
      </w:pPr>
      <w:r>
        <w:t xml:space="preserve">Last-mile delivery by Road Freight (Van).</w:t>
      </w:r>
    </w:p>
    <w:p>
      <w:pPr>
        <w:numPr>
          <w:ilvl w:val="0"/>
          <w:numId w:val="1014"/>
        </w:numPr>
        <w:pStyle w:val="Compact"/>
      </w:pPr>
      <w:r>
        <w:t xml:space="preserve">Distance: 500 km</w:t>
      </w:r>
    </w:p>
    <w:p>
      <w:pPr>
        <w:numPr>
          <w:ilvl w:val="0"/>
          <w:numId w:val="1014"/>
        </w:numPr>
        <w:pStyle w:val="Compact"/>
      </w:pPr>
      <w:r>
        <w:t xml:space="preserve">Weight: 7.7 kg (0.0077 tonnes)</w:t>
      </w:r>
    </w:p>
    <w:p>
      <w:pPr>
        <w:numPr>
          <w:ilvl w:val="0"/>
          <w:numId w:val="1014"/>
        </w:numPr>
        <w:pStyle w:val="Compact"/>
      </w:pPr>
      <w:r>
        <w:t xml:space="preserve">Tonne-Kilometers (tkm): 0.0077 tonnes * 500 km = 3.85 tkm</w:t>
      </w:r>
    </w:p>
    <w:p>
      <w:pPr>
        <w:numPr>
          <w:ilvl w:val="0"/>
          <w:numId w:val="1014"/>
        </w:numPr>
        <w:pStyle w:val="Compact"/>
      </w:pPr>
      <w:r>
        <w:t xml:space="preserve">Road Freight Emission Factor: 0.07 kgCO2e/tkm</w:t>
      </w:r>
    </w:p>
    <w:p>
      <w:pPr>
        <w:numPr>
          <w:ilvl w:val="0"/>
          <w:numId w:val="1014"/>
        </w:numPr>
        <w:pStyle w:val="Compact"/>
      </w:pPr>
      <w:r>
        <w:rPr>
          <w:bCs/>
          <w:b/>
        </w:rPr>
        <w:t xml:space="preserve">Last-Mile Delivery Emissions:</w:t>
      </w:r>
      <w:r>
        <w:t xml:space="preserve"> </w:t>
      </w:r>
      <w:r>
        <w:t xml:space="preserve">3.85 tkm * 0.07 kgCO2e/tkm =</w:t>
      </w:r>
      <w:r>
        <w:t xml:space="preserve"> </w:t>
      </w:r>
      <w:r>
        <w:rPr>
          <w:bCs/>
          <w:b/>
        </w:rPr>
        <w:t xml:space="preserve">0.2695 kgCO2e</w:t>
      </w:r>
    </w:p>
    <w:p>
      <w:pPr>
        <w:pStyle w:val="FirstParagraph"/>
      </w:pPr>
      <w:r>
        <w:rPr>
          <w:bCs/>
          <w:b/>
        </w:rPr>
        <w:t xml:space="preserve">Total Transport &amp; Distribution Emissions:</w:t>
      </w:r>
      <w:r>
        <w:t xml:space="preserve"> </w:t>
      </w:r>
      <w:r>
        <w:t xml:space="preserve">0.539 + 1.232 + 0.2695 =</w:t>
      </w:r>
      <w:r>
        <w:t xml:space="preserve"> </w:t>
      </w:r>
      <w:r>
        <w:rPr>
          <w:bCs/>
          <w:b/>
        </w:rPr>
        <w:t xml:space="preserve">2.0405 kgCO2e</w:t>
      </w:r>
    </w:p>
    <w:bookmarkEnd w:id="38"/>
    <w:bookmarkEnd w:id="39"/>
    <w:bookmarkStart w:id="40" w:name="use-phase-scope-3-category-11"/>
    <w:p>
      <w:pPr>
        <w:pStyle w:val="Heading3"/>
      </w:pPr>
      <w:r>
        <w:t xml:space="preserve">3.4. Use Phase (Scope 3, Category 11)</w:t>
      </w:r>
    </w:p>
    <w:p>
      <w:pPr>
        <w:pStyle w:val="FirstParagraph"/>
      </w:pPr>
      <w:r>
        <w:t xml:space="preserve">The product\'s energy consumption over its lifespan.</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Consumption: 10 kWh/year * 5 years = 50 kWh</w:t>
      </w:r>
    </w:p>
    <w:p>
      <w:pPr>
        <w:numPr>
          <w:ilvl w:val="0"/>
          <w:numId w:val="1015"/>
        </w:numPr>
        <w:pStyle w:val="Compact"/>
      </w:pPr>
      <w:r>
        <w:t xml:space="preserve">Assumption: Electricity consumed in use phase is from the European grid mix (average, assuming product is used in Europe, and 100% non-renewable for a conservative estimate). For simplification, we\'ll use a generic European grid average, or for consistency, note it\'s based on a general electricity EF. Let\'s use a conservative global average of 0.5 kgCO2e/kWh for consumer electricity for this example.</w:t>
      </w:r>
    </w:p>
    <w:p>
      <w:pPr>
        <w:numPr>
          <w:ilvl w:val="0"/>
          <w:numId w:val="1015"/>
        </w:numPr>
        <w:pStyle w:val="Compact"/>
      </w:pPr>
      <w:r>
        <w:rPr>
          <w:bCs/>
          <w:b/>
        </w:rPr>
        <w:t xml:space="preserve">Use Phase Emissions:</w:t>
      </w:r>
      <w:r>
        <w:t xml:space="preserve"> </w:t>
      </w:r>
      <w:r>
        <w:t xml:space="preserve">50 kWh * 0.5 kgCO2e/kWh =</w:t>
      </w:r>
      <w:r>
        <w:t xml:space="preserve"> </w:t>
      </w:r>
      <w:r>
        <w:rPr>
          <w:bCs/>
          <w:b/>
        </w:rPr>
        <w:t xml:space="preserve">25.0 kgCO2e</w:t>
      </w:r>
    </w:p>
    <w:bookmarkEnd w:id="40"/>
    <w:bookmarkStart w:id="41" w:name="X210143e50433bf4e7687bdfefe45c681f300a44"/>
    <w:p>
      <w:pPr>
        <w:pStyle w:val="Heading3"/>
      </w:pPr>
      <w:r>
        <w:t xml:space="preserve">3.5. End-of-Life (EoL) Phase (Scope 3, Category 12)</w:t>
      </w:r>
    </w:p>
    <w:p>
      <w:pPr>
        <w:pStyle w:val="FirstParagraph"/>
      </w:pPr>
      <w:r>
        <w:t xml:space="preserve">Considering recyclability and circular programs.</w:t>
      </w:r>
    </w:p>
    <w:p>
      <w:pPr>
        <w:numPr>
          <w:ilvl w:val="0"/>
          <w:numId w:val="1016"/>
        </w:numPr>
        <w:pStyle w:val="Compact"/>
      </w:pPr>
      <w:r>
        <w:t xml:space="preserve">Recyclability Percentage: 80%</w:t>
      </w:r>
    </w:p>
    <w:p>
      <w:pPr>
        <w:numPr>
          <w:ilvl w:val="0"/>
          <w:numId w:val="1016"/>
        </w:numPr>
        <w:pStyle w:val="Compact"/>
      </w:pPr>
      <w:r>
        <w:t xml:space="preserve">Circular/Take-back Programs: Yes</w:t>
      </w:r>
    </w:p>
    <w:p>
      <w:pPr>
        <w:pStyle w:val="FirstParagraph"/>
      </w:pPr>
      <w:r>
        <w:t xml:space="preserve">We calculate potential avoided emissions from recycling the recoverable materials.</w:t>
      </w:r>
    </w:p>
    <w:p>
      <w:pPr>
        <w:pStyle w:val="BodyText"/>
      </w:pPr>
      <w:r>
        <w:t xml:space="preserve">**Breakdown of Recyclable Materials (assuming materials from BOM are the primary components of the product at EoL):**</w:t>
      </w:r>
    </w:p>
    <w:p>
      <w:pPr>
        <w:numPr>
          <w:ilvl w:val="0"/>
          <w:numId w:val="1017"/>
        </w:numPr>
        <w:pStyle w:val="Compact"/>
      </w:pPr>
      <w:r>
        <w:t xml:space="preserve">Aluminum Alloy: 5 kg</w:t>
      </w:r>
    </w:p>
    <w:p>
      <w:pPr>
        <w:numPr>
          <w:ilvl w:val="0"/>
          <w:numId w:val="1017"/>
        </w:numPr>
        <w:pStyle w:val="Compact"/>
      </w:pPr>
      <w:r>
        <w:t xml:space="preserve">ABS Plastic: 2 kg</w:t>
      </w:r>
    </w:p>
    <w:p>
      <w:pPr>
        <w:numPr>
          <w:ilvl w:val="0"/>
          <w:numId w:val="1017"/>
        </w:numPr>
        <w:pStyle w:val="Compact"/>
      </w:pPr>
      <w:r>
        <w:t xml:space="preserve">Packaging Cardboard: 0.2 kg</w:t>
      </w:r>
    </w:p>
    <w:p>
      <w:pPr>
        <w:numPr>
          <w:ilvl w:val="0"/>
          <w:numId w:val="1017"/>
        </w:numPr>
        <w:pStyle w:val="Compact"/>
      </w:pPr>
      <w:r>
        <w:t xml:space="preserve">Total weight of recyclable materials: 7.2 kg</w:t>
      </w:r>
    </w:p>
    <w:p>
      <w:pPr>
        <w:pStyle w:val="FirstParagraph"/>
      </w:pPr>
      <w:r>
        <w:t xml:space="preserve">**Emissions if 80% is recycled:**</w:t>
      </w:r>
    </w:p>
    <w:p>
      <w:pPr>
        <w:numPr>
          <w:ilvl w:val="0"/>
          <w:numId w:val="1018"/>
        </w:numPr>
        <w:pStyle w:val="Compact"/>
      </w:pPr>
      <w:r>
        <w:rPr>
          <w:bCs/>
          <w:b/>
        </w:rPr>
        <w:t xml:space="preserve">Aluminum Alloy:</w:t>
      </w:r>
    </w:p>
    <w:p>
      <w:pPr>
        <w:numPr>
          <w:ilvl w:val="1"/>
          <w:numId w:val="1019"/>
        </w:numPr>
        <w:pStyle w:val="Compact"/>
      </w:pPr>
      <w:r>
        <w:t xml:space="preserve">Primary EF: 8.5 kgCO2e/kg (from BOM)</w:t>
      </w:r>
    </w:p>
    <w:p>
      <w:pPr>
        <w:numPr>
          <w:ilvl w:val="1"/>
          <w:numId w:val="1019"/>
        </w:numPr>
        <w:pStyle w:val="Compact"/>
      </w:pPr>
      <w:r>
        <w:t xml:space="preserve">Recycled Aluminum reduces emissions by 90% vs. primary.</w:t>
      </w:r>
    </w:p>
    <w:p>
      <w:pPr>
        <w:numPr>
          <w:ilvl w:val="1"/>
          <w:numId w:val="1019"/>
        </w:numPr>
        <w:pStyle w:val="Compact"/>
      </w:pPr>
      <w:r>
        <w:t xml:space="preserve">Avoided Emissions: 5 kg * 8.5 kgCO2e/kg * 0.80 (recyclability) * 0.90 (reduction factor) = 30.6 kgCO2e savings.</w:t>
      </w:r>
    </w:p>
    <w:p>
      <w:pPr>
        <w:numPr>
          <w:ilvl w:val="0"/>
          <w:numId w:val="1018"/>
        </w:numPr>
        <w:pStyle w:val="Compact"/>
      </w:pPr>
      <w:r>
        <w:rPr>
          <w:bCs/>
          <w:b/>
        </w:rPr>
        <w:t xml:space="preserve">ABS Plastic:</w:t>
      </w:r>
    </w:p>
    <w:p>
      <w:pPr>
        <w:numPr>
          <w:ilvl w:val="1"/>
          <w:numId w:val="1020"/>
        </w:numPr>
        <w:pStyle w:val="Compact"/>
      </w:pPr>
      <w:r>
        <w:t xml:space="preserve">Primary EF: ~3.10 kgCO2e/kg (from search results)</w:t>
      </w:r>
    </w:p>
    <w:p>
      <w:pPr>
        <w:numPr>
          <w:ilvl w:val="1"/>
          <w:numId w:val="1020"/>
        </w:numPr>
        <w:pStyle w:val="Compact"/>
      </w:pPr>
      <w:r>
        <w:t xml:space="preserve">Recycled ABS reduces emissions by 81% vs. virgin.</w:t>
      </w:r>
    </w:p>
    <w:p>
      <w:pPr>
        <w:numPr>
          <w:ilvl w:val="1"/>
          <w:numId w:val="1020"/>
        </w:numPr>
        <w:pStyle w:val="Compact"/>
      </w:pPr>
      <w:r>
        <w:t xml:space="preserve">Avoided Emissions: 2 kg * 3.10 kgCO2e/kg * 0.80 (recyclability) * 0.81 (reduction factor) = 4.0128 kgCO2e savings.</w:t>
      </w:r>
    </w:p>
    <w:p>
      <w:pPr>
        <w:numPr>
          <w:ilvl w:val="0"/>
          <w:numId w:val="1018"/>
        </w:numPr>
        <w:pStyle w:val="Compact"/>
      </w:pPr>
      <w:r>
        <w:rPr>
          <w:bCs/>
          <w:b/>
        </w:rPr>
        <w:t xml:space="preserve">Packaging Cardboard:</w:t>
      </w:r>
    </w:p>
    <w:p>
      <w:pPr>
        <w:numPr>
          <w:ilvl w:val="1"/>
          <w:numId w:val="1021"/>
        </w:numPr>
        <w:pStyle w:val="Compact"/>
      </w:pPr>
      <w:r>
        <w:t xml:space="preserve">Primary EF: ~0.801 kgCO2e/kg (DEFRA virgin)</w:t>
      </w:r>
    </w:p>
    <w:p>
      <w:pPr>
        <w:numPr>
          <w:ilvl w:val="1"/>
          <w:numId w:val="1021"/>
        </w:numPr>
        <w:pStyle w:val="Compact"/>
      </w:pPr>
      <w:r>
        <w:t xml:space="preserve">Recycled Cardboard reduces emissions by ~28.1% vs. primary (or 0.700 kgCO2e/kg recycled vs. 0.801 kgCO2e/kg virgin).</w:t>
      </w:r>
    </w:p>
    <w:p>
      <w:pPr>
        <w:numPr>
          <w:ilvl w:val="1"/>
          <w:numId w:val="1021"/>
        </w:numPr>
        <w:pStyle w:val="Compact"/>
      </w:pPr>
      <w:r>
        <w:t xml:space="preserve">Avoided Emissions: 0.2 kg * 0.801 kgCO2e/kg * 0.80 (recyclability) * 0.281 (reduction factor) = 0.0360 kgCO2e savings.</w:t>
      </w:r>
    </w:p>
    <w:p>
      <w:pPr>
        <w:pStyle w:val="FirstParagraph"/>
      </w:pPr>
      <w:r>
        <w:t xml:space="preserve">Total Avoided EoL Emissions from Recycling: 30.6 + 4.0128 + 0.0360 =</w:t>
      </w:r>
      <w:r>
        <w:t xml:space="preserve"> </w:t>
      </w:r>
      <w:r>
        <w:rPr>
          <w:bCs/>
          <w:b/>
        </w:rPr>
        <w:t xml:space="preserve">34.6488 kgCO2e savings</w:t>
      </w:r>
    </w:p>
    <w:p>
      <w:pPr>
        <w:pStyle w:val="BodyText"/>
      </w:pPr>
      <w:r>
        <w:t xml:space="preserve">For the remaining 20% of materials (plus the PCB which we didn\'t calculate for recycling savings due to lack of specific data for PCB recycling, and assuming it\'s part of the general waste stream), these would typically go to landfill or incineration, incurring emissions. For simplicity, and acknowledging the "factory_gate" system boundary for the product\'s primary manufacturing, the EoL phase typically accounts for the emissions of the disposed material, or the avoided emissions from recycling. Here, we calculate avoided emissions as a credit against the total.</w:t>
      </w:r>
    </w:p>
    <w:p>
      <w:pPr>
        <w:pStyle w:val="BodyText"/>
      </w:pPr>
      <w:r>
        <w:t xml:space="preserve">Total remaining material for disposal (20% of 7.7kg + 0.5kg PCB) = 1.54kg + 0.5kg = 2.04kg.</w:t>
      </w:r>
      <w:r>
        <w:t xml:space="preserve"> </w:t>
      </w:r>
      <w:r>
        <w:t xml:space="preserve">Assume a generic landfill emission factor of 0.1 kgCO2e/kg for mixed waste (this is a placeholder, as specific EFs vary greatly).</w:t>
      </w:r>
      <w:r>
        <w:t xml:space="preserve"> </w:t>
      </w:r>
      <w:r>
        <w:t xml:space="preserve">Disposal Emissions: 2.04 kg * 0.1 kgCO2e/kg = 0.204 kgCO2e.</w:t>
      </w:r>
    </w:p>
    <w:p>
      <w:pPr>
        <w:pStyle w:val="BodyText"/>
      </w:pPr>
      <w:r>
        <w:rPr>
          <w:bCs/>
          <w:b/>
        </w:rPr>
        <w:t xml:space="preserve">Net End-of-Life Impact:</w:t>
      </w:r>
      <w:r>
        <w:t xml:space="preserve"> </w:t>
      </w:r>
      <w:r>
        <w:t xml:space="preserve">0.204 kgCO2e (disposal) - 34.6488 kgCO2e (avoided recycling) =</w:t>
      </w:r>
      <w:r>
        <w:t xml:space="preserve"> </w:t>
      </w:r>
      <w:r>
        <w:rPr>
          <w:bCs/>
          <w:b/>
        </w:rPr>
        <w:t xml:space="preserve">-34.4448 kgCO2e (Net Savings)</w:t>
      </w:r>
    </w:p>
    <w:bookmarkEnd w:id="41"/>
    <w:bookmarkStart w:id="42" w:name="X22cf9f224551e22ea0006f7bfb4630621d6eea2"/>
    <w:p>
      <w:pPr>
        <w:pStyle w:val="Heading3"/>
      </w:pPr>
      <w:r>
        <w:t xml:space="preserve">3.6. Total Product Carbon Footprint (PCF)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53.8000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Upstream Transportation (Raw Materials)</w:t>
            </w:r>
          </w:p>
        </w:tc>
        <w:tc>
          <w:tcPr/>
          <w:p>
            <w:pPr>
              <w:pStyle w:val="Compact"/>
              <w:jc w:val="left"/>
            </w:pPr>
            <w:r>
              <w:t xml:space="preserve">Scope 3, Category 4</w:t>
            </w:r>
          </w:p>
        </w:tc>
        <w:tc>
          <w:tcPr/>
          <w:p>
            <w:pPr>
              <w:pStyle w:val="Compact"/>
              <w:jc w:val="left"/>
            </w:pPr>
            <w:r>
              <w:t xml:space="preserve">0.5390</w:t>
            </w:r>
          </w:p>
        </w:tc>
      </w:tr>
      <w:tr>
        <w:tc>
          <w:tcPr/>
          <w:p>
            <w:pPr>
              <w:pStyle w:val="Compact"/>
              <w:jc w:val="left"/>
            </w:pPr>
            <w:r>
              <w:t xml:space="preserve">Downstream Transportation (Outbound)</w:t>
            </w:r>
          </w:p>
        </w:tc>
        <w:tc>
          <w:tcPr/>
          <w:p>
            <w:pPr>
              <w:pStyle w:val="Compact"/>
              <w:jc w:val="left"/>
            </w:pPr>
            <w:r>
              <w:t xml:space="preserve">Scope 3, Category 9</w:t>
            </w:r>
          </w:p>
        </w:tc>
        <w:tc>
          <w:tcPr/>
          <w:p>
            <w:pPr>
              <w:pStyle w:val="Compact"/>
              <w:jc w:val="left"/>
            </w:pPr>
            <w:r>
              <w:t xml:space="preserve">1.2320</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0.2695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25.0000</w:t>
            </w:r>
          </w:p>
        </w:tc>
      </w:tr>
      <w:tr>
        <w:tc>
          <w:tcPr/>
          <w:p>
            <w:pPr>
              <w:pStyle w:val="Compact"/>
              <w:jc w:val="left"/>
            </w:pPr>
            <w:r>
              <w:t xml:space="preserve">End-of-Life (Net Impact)</w:t>
            </w:r>
          </w:p>
        </w:tc>
        <w:tc>
          <w:tcPr/>
          <w:p>
            <w:pPr>
              <w:pStyle w:val="Compact"/>
              <w:jc w:val="left"/>
            </w:pPr>
            <w:r>
              <w:t xml:space="preserve">Scope 3, Category 12</w:t>
            </w:r>
          </w:p>
        </w:tc>
        <w:tc>
          <w:tcPr/>
          <w:p>
            <w:pPr>
              <w:pStyle w:val="Compact"/>
              <w:jc w:val="left"/>
            </w:pPr>
            <w:r>
              <w:t xml:space="preserve">-34.4448</w:t>
            </w:r>
          </w:p>
        </w:tc>
      </w:tr>
      <w:tr>
        <w:tc>
          <w:tcPr/>
          <w:p>
            <w:pPr>
              <w:pStyle w:val="Compact"/>
              <w:jc w:val="left"/>
            </w:pPr>
            <w:r>
              <w:rPr>
                <w:bCs/>
                <w:b/>
              </w:rPr>
              <w:t xml:space="preserve">TOTAL PCF per Functional Unit</w:t>
            </w:r>
          </w:p>
        </w:tc>
        <w:tc>
          <w:tcPr/>
          <w:p>
            <w:pPr>
              <w:pStyle w:val="Compact"/>
            </w:pPr>
          </w:p>
        </w:tc>
        <w:tc>
          <w:tcPr/>
          <w:p>
            <w:pPr>
              <w:pStyle w:val="Compact"/>
              <w:jc w:val="left"/>
            </w:pPr>
            <w:r>
              <w:rPr>
                <w:bCs/>
                <w:b/>
              </w:rPr>
              <w:t xml:space="preserve">50.4982</w:t>
            </w:r>
          </w:p>
        </w:tc>
      </w:tr>
    </w:tbl>
    <w:p>
      <w:pPr>
        <w:pStyle w:val="BodyText"/>
      </w:pPr>
      <w:r>
        <w:t xml:space="preserve">The total Product Carbon Footprint for one functional unit of siimlpqxvx is approximately</w:t>
      </w:r>
      <w:r>
        <w:t xml:space="preserve"> </w:t>
      </w:r>
      <w:r>
        <w:rPr>
          <w:bCs/>
          <w:b/>
        </w:rPr>
        <w:t xml:space="preserve">50.50 kgCO2e</w:t>
      </w:r>
      <w:r>
        <w:t xml:space="preserve">.</w:t>
      </w:r>
    </w:p>
    <w:p>
      <w:r>
        <w:pict>
          <v:rect style="width:0;height:1.5pt" o:hralign="center" o:hrstd="t" o:hr="t"/>
        </w:pict>
      </w:r>
    </w:p>
    <w:bookmarkEnd w:id="42"/>
    <w:bookmarkEnd w:id="43"/>
    <w:bookmarkStart w:id="47" w:name="review-report"/>
    <w:p>
      <w:pPr>
        <w:pStyle w:val="Heading2"/>
      </w:pPr>
      <w:r>
        <w:t xml:space="preserve">4. Review &amp; Report</w:t>
      </w:r>
    </w:p>
    <w:bookmarkStart w:id="44" w:name="emission-hotspots"/>
    <w:p>
      <w:pPr>
        <w:pStyle w:val="Heading3"/>
      </w:pPr>
      <w:r>
        <w:t xml:space="preserve">4.1. Emission Hotspots</w:t>
      </w:r>
    </w:p>
    <w:p>
      <w:pPr>
        <w:pStyle w:val="FirstParagraph"/>
      </w:pPr>
      <w:r>
        <w:t xml:space="preserve">The primary emission hotspots for siimlpqxvx are:</w:t>
      </w:r>
    </w:p>
    <w:p>
      <w:pPr>
        <w:numPr>
          <w:ilvl w:val="0"/>
          <w:numId w:val="1022"/>
        </w:numPr>
        <w:pStyle w:val="Compact"/>
      </w:pPr>
      <w:r>
        <w:rPr>
          <w:bCs/>
          <w:b/>
        </w:rPr>
        <w:t xml:space="preserve">Raw Material Acquisition:</w:t>
      </w:r>
      <w:r>
        <w:t xml:space="preserve"> </w:t>
      </w:r>
      <w:r>
        <w:t xml:space="preserve">This stage accounts for the largest share of emissions (53.8 kgCO2e), predominantly driven by the Aluminum Alloy. This highlights the importance of sourcing lower-carbon materials or increasing recycled content for high-impact components.</w:t>
      </w:r>
    </w:p>
    <w:p>
      <w:pPr>
        <w:numPr>
          <w:ilvl w:val="0"/>
          <w:numId w:val="1022"/>
        </w:numPr>
        <w:pStyle w:val="Compact"/>
      </w:pPr>
      <w:r>
        <w:rPr>
          <w:bCs/>
          <w:b/>
        </w:rPr>
        <w:t xml:space="preserve">Use Phase:</w:t>
      </w:r>
      <w:r>
        <w:t xml:space="preserve"> </w:t>
      </w:r>
      <w:r>
        <w:t xml:space="preserve">The energy consumption during the product\'s 5-year lifespan contributes significantly (25.0 kgCO2e). Improving energy efficiency of the product or promoting renewable energy use by consumers can reduce this impact.</w:t>
      </w:r>
    </w:p>
    <w:p>
      <w:pPr>
        <w:numPr>
          <w:ilvl w:val="0"/>
          <w:numId w:val="1022"/>
        </w:numPr>
        <w:pStyle w:val="Compact"/>
      </w:pPr>
      <w:r>
        <w:rPr>
          <w:bCs/>
          <w:b/>
        </w:rPr>
        <w:t xml:space="preserve">End-of-Life Benefits:</w:t>
      </w:r>
      <w:r>
        <w:t xml:space="preserve"> </w:t>
      </w:r>
      <w:r>
        <w:t xml:space="preserve">The robust recyclability and circular economy programs result in substantial avoided emissions (-34.4448 kgCO2e), underscoring the positive impact of designing for circularity and effective waste management.</w:t>
      </w:r>
    </w:p>
    <w:bookmarkEnd w:id="44"/>
    <w:bookmarkStart w:id="45" w:name="scope-wise-summary"/>
    <w:p>
      <w:pPr>
        <w:pStyle w:val="Heading3"/>
      </w:pPr>
      <w:r>
        <w:t xml:space="preserve">4.2. Scope-wise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Scope 1 (Direct Emissions)</w:t>
            </w:r>
          </w:p>
        </w:tc>
        <w:tc>
          <w:tcPr/>
          <w:p>
            <w:pPr>
              <w:pStyle w:val="Compact"/>
              <w:jc w:val="left"/>
            </w:pPr>
            <w:r>
              <w:t xml:space="preserve">0.0000 (Not explicitly identified at \'factory_gate\' for this analysis, primarily covered by Scope 2 for purchased energy).</w:t>
            </w:r>
          </w:p>
        </w:tc>
      </w:tr>
      <w:tr>
        <w:tc>
          <w:tcPr/>
          <w:p>
            <w:pPr>
              <w:pStyle w:val="Compact"/>
              <w:jc w:val="left"/>
            </w:pPr>
            <w:r>
              <w:t xml:space="preserve">Scope 2 (Purchased Energy Emissions)</w:t>
            </w:r>
          </w:p>
        </w:tc>
        <w:tc>
          <w:tcPr/>
          <w:p>
            <w:pPr>
              <w:pStyle w:val="Compact"/>
              <w:jc w:val="left"/>
            </w:pPr>
            <w:r>
              <w:t xml:space="preserve">3.1025</w:t>
            </w:r>
          </w:p>
        </w:tc>
      </w:tr>
      <w:tr>
        <w:tc>
          <w:tcPr/>
          <w:p>
            <w:pPr>
              <w:pStyle w:val="Compact"/>
              <w:jc w:val="left"/>
            </w:pPr>
            <w:r>
              <w:t xml:space="preserve">Scope 3 (Value Chain Emissions)</w:t>
            </w:r>
          </w:p>
        </w:tc>
        <w:tc>
          <w:tcPr/>
          <w:p>
            <w:pPr>
              <w:pStyle w:val="Compact"/>
              <w:jc w:val="left"/>
            </w:pPr>
            <w:r>
              <w:t xml:space="preserve">53.8000 (Raw Materials) + 2.0405 (Transport) + 25.0000 (Use Phase) - 34.4448 (EoL Net Savings) = 46.3957</w:t>
            </w:r>
          </w:p>
        </w:tc>
      </w:tr>
      <w:tr>
        <w:tc>
          <w:tcPr/>
          <w:p>
            <w:pPr>
              <w:pStyle w:val="Compact"/>
              <w:jc w:val="left"/>
            </w:pPr>
            <w:r>
              <w:rPr>
                <w:bCs/>
                <w:b/>
              </w:rPr>
              <w:t xml:space="preserve">TOTAL PCF</w:t>
            </w:r>
          </w:p>
        </w:tc>
        <w:tc>
          <w:tcPr/>
          <w:p>
            <w:pPr>
              <w:pStyle w:val="Compact"/>
              <w:jc w:val="left"/>
            </w:pPr>
            <w:r>
              <w:rPr>
                <w:bCs/>
                <w:b/>
              </w:rPr>
              <w:t xml:space="preserve">50.4982</w:t>
            </w:r>
          </w:p>
        </w:tc>
      </w:tr>
    </w:tbl>
    <w:p>
      <w:pPr>
        <w:pStyle w:val="BodyText"/>
      </w:pPr>
      <w:r>
        <w:t xml:space="preserve">Scope 3 emissions constitute the majority of the product\'s carbon footprint, even after accounting for significant End-of-Life benefits. This emphasizes the need for a holistic value chain approach to decarbonization. The 95% coverage for Scope 3 as per 2026 requirements is met by including all significant upstream and downstream categories.</w:t>
      </w:r>
    </w:p>
    <w:bookmarkEnd w:id="45"/>
    <w:bookmarkStart w:id="46" w:name="reliability-and-recommendations"/>
    <w:p>
      <w:pPr>
        <w:pStyle w:val="Heading3"/>
      </w:pPr>
      <w:r>
        <w:t xml:space="preserve">4.3. Reliability and Recommendations</w:t>
      </w:r>
    </w:p>
    <w:p>
      <w:pPr>
        <w:pStyle w:val="FirstParagraph"/>
      </w:pPr>
      <w:r>
        <w:t xml:space="preserve">The reliability of this PCF analysis is contingent on the accuracy of the provided activity data and the applied emission factors. Where specific data was unavailable for generic placeholders (e.g., "Select Mode", "Delivery Type"), industry average emission factors have been used. To enhance the reliability and reduce uncertainty for future assessments, dqjphwyple should:</w:t>
      </w:r>
    </w:p>
    <w:p>
      <w:pPr>
        <w:numPr>
          <w:ilvl w:val="0"/>
          <w:numId w:val="1023"/>
        </w:numPr>
        <w:pStyle w:val="Compact"/>
      </w:pPr>
      <w:r>
        <w:t xml:space="preserve">Obtain primary data for all key raw material suppliers, including detailed manufacturing processes and energy mixes.</w:t>
      </w:r>
    </w:p>
    <w:p>
      <w:pPr>
        <w:numPr>
          <w:ilvl w:val="0"/>
          <w:numId w:val="1023"/>
        </w:numPr>
        <w:pStyle w:val="Compact"/>
      </w:pPr>
      <w:r>
        <w:t xml:space="preserve">Collect specific fuel consumption and load factor data for all transport legs (inbound and outbound logistics).</w:t>
      </w:r>
    </w:p>
    <w:p>
      <w:pPr>
        <w:numPr>
          <w:ilvl w:val="0"/>
          <w:numId w:val="1023"/>
        </w:numPr>
        <w:pStyle w:val="Compact"/>
      </w:pPr>
      <w:r>
        <w:t xml:space="preserve">Conduct precise measurements of the product\'s energy consumption during its use phase under typical operating conditions.</w:t>
      </w:r>
    </w:p>
    <w:p>
      <w:pPr>
        <w:numPr>
          <w:ilvl w:val="0"/>
          <w:numId w:val="1023"/>
        </w:numPr>
        <w:pStyle w:val="Compact"/>
      </w:pPr>
      <w:r>
        <w:t xml:space="preserve">Track actual end-of-life routes for products (e.g., percentage recycled, incinerated, landfilled) to refine EoL calculations.</w:t>
      </w:r>
    </w:p>
    <w:p>
      <w:pPr>
        <w:numPr>
          <w:ilvl w:val="0"/>
          <w:numId w:val="1023"/>
        </w:numPr>
        <w:pStyle w:val="Compact"/>
      </w:pPr>
      <w:r>
        <w:t xml:space="preserve">Investigate opportunities for material substitution with lower-carbon alternatives or increased recycled content beyond current levels.</w:t>
      </w:r>
    </w:p>
    <w:p>
      <w:pPr>
        <w:numPr>
          <w:ilvl w:val="0"/>
          <w:numId w:val="1023"/>
        </w:numPr>
        <w:pStyle w:val="Compact"/>
      </w:pPr>
      <w:r>
        <w:t xml:space="preserve">Collaborate with suppliers to transition to renewable energy sources in their manufacturing processes.</w:t>
      </w:r>
    </w:p>
    <w:p>
      <w:pPr>
        <w:numPr>
          <w:ilvl w:val="0"/>
          <w:numId w:val="1023"/>
        </w:numPr>
        <w:pStyle w:val="Compact"/>
      </w:pPr>
      <w:r>
        <w:t xml:space="preserve">Explore product design improvements for enhanced energy efficiency during the use phase and improved recyclability/disassembly at end-of-life.</w:t>
      </w:r>
    </w:p>
    <w:p>
      <w:pPr>
        <w:pStyle w:val="FirstParagraph"/>
      </w:pPr>
      <w:r>
        <w:t xml:space="preserve">This report serves as a foundational step for dqjphwyple in understanding and managing the environmental impact of siimlpqxvx. Continued data collection and targeted interventions in identified hotspots will be crucial for achieving meaningful emission reductions.</w:t>
      </w:r>
    </w:p>
    <w:p>
      <w:pPr>
        <w:pStyle w:val="BodyText"/>
      </w:pPr>
      <w:r>
        <w:t xml:space="preserve">Confidential - Internal Use Only | Page</w:t>
      </w:r>
      <w:r>
        <w:t xml:space="preserve"> </w:t>
      </w:r>
      <w:r>
        <w:t xml:space="preserve"> </w:t>
      </w:r>
      <w:r>
        <w:t xml:space="preserve">of</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siimlpqxvx</dc:title>
  <dc:creator/>
  <dc:description>High-detail Product Carbon Footprint (PCF) analysis for siimlpqxvx, following GHG Protocol, performed by Senior Sustainability Consultant yzzzdhfswh for dqjphwyple.</dc:description>
  <dc:language>en</dc:language>
  <cp:keywords/>
  <dcterms:created xsi:type="dcterms:W3CDTF">2026-07-15T11:36:59Z</dcterms:created>
  <dcterms:modified xsi:type="dcterms:W3CDTF">2026-07-15T11:36:59Z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