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shxyhmujvs</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shxyhmujvs</w:t>
      </w:r>
    </w:p>
    <w:p>
      <w:pPr>
        <w:pStyle w:val="BodyText"/>
      </w:pPr>
      <w:r>
        <w:rPr>
          <w:bCs/>
          <w:b/>
        </w:rPr>
        <w:t xml:space="preserve">Company Name:</w:t>
      </w:r>
      <w:r>
        <w:t xml:space="preserve"> </w:t>
      </w:r>
      <w:r>
        <w:t xml:space="preserve">ejlfidoeze</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nygkhumzwl</w:t>
      </w:r>
    </w:p>
    <w:p>
      <w:pPr>
        <w:pStyle w:val="BodyText"/>
      </w:pPr>
      <w:r>
        <w:t xml:space="preserve">Disclaimer: This report is generated based on available data, industry standards, and specified parameters. While best efforts have been made to ensure accuracy, this analysis represents an estimation and should be used for informational and strategic planning purposes.</w:t>
      </w:r>
    </w:p>
    <w:bookmarkEnd w:id="20"/>
    <w:bookmarkStart w:id="51"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shxyhmujvs,</w:t>
      </w:r>
      <w:r>
        <w:t xml:space="preserve"> </w:t>
      </w:r>
      <w:r>
        <w:t xml:space="preserve">manufactured by ejlfidoeze. The analysis adheres strictly to the GHG Protocol Product Life Cycle Accounting and Reporting Standard,</w:t>
      </w:r>
      <w:r>
        <w:t xml:space="preserve"> </w:t>
      </w:r>
      <w:r>
        <w:t xml:space="preserve">incorporating the 2026 Land Sector and Removals (LSR) Standard updates and ensuring at least 95% coverage for Scope 3 emissions.</w:t>
      </w:r>
      <w:r>
        <w:t xml:space="preserve"> </w:t>
      </w:r>
      <w:r>
        <w:t xml:space="preserve">The system boundary is defined as "factory_gate" with a geographic scope focusing on China for final production and Europe for the supply chain.</w:t>
      </w:r>
      <w:r>
        <w:t xml:space="preserve"> </w:t>
      </w:r>
      <w:r>
        <w:t xml:space="preserve">The primary objective is to quantify the greenhouse gas emissions across the product\'s lifecycle,</w:t>
      </w:r>
      <w:r>
        <w:t xml:space="preserve"> </w:t>
      </w:r>
      <w:r>
        <w:t xml:space="preserve">identify key hotspots, and provide actionable insights for emission reduction strategies.</w:t>
      </w:r>
    </w:p>
    <w:p>
      <w:r>
        <w:pict>
          <v:rect style="width:0;height:1.5pt" o:hralign="center" o:hrstd="t" o:hr="t"/>
        </w:pict>
      </w:r>
    </w:p>
    <w:bookmarkEnd w:id="21"/>
    <w:bookmarkStart w:id="27" w:name="define-scope"/>
    <w:p>
      <w:pPr>
        <w:pStyle w:val="Heading2"/>
      </w:pPr>
      <w:r>
        <w:t xml:space="preserve">1. Define Scope</w:t>
      </w:r>
    </w:p>
    <w:bookmarkStart w:id="22"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shxyhmujvs</w:t>
      </w:r>
      <w:r>
        <w:t xml:space="preserve">. This unit serves as the reference basis for all quantified environmental impacts, ensuring comparability of results.</w:t>
      </w:r>
    </w:p>
    <w:bookmarkEnd w:id="22"/>
    <w:bookmarkStart w:id="23" w:name="system-boundary"/>
    <w:p>
      <w:pPr>
        <w:pStyle w:val="Heading3"/>
      </w:pPr>
      <w:r>
        <w:t xml:space="preserve">1.2 System Boundary</w:t>
      </w:r>
    </w:p>
    <w:p>
      <w:pPr>
        <w:pStyle w:val="FirstParagraph"/>
      </w:pPr>
      <w:r>
        <w:t xml:space="preserve">The system boundary for this analysis is</w:t>
      </w:r>
      <w:r>
        <w:t xml:space="preserve"> </w:t>
      </w:r>
      <w:r>
        <w:rPr>
          <w:bCs/>
          <w:b/>
        </w:rPr>
        <w:t xml:space="preserve">"factory_gate"</w:t>
      </w:r>
      <w:r>
        <w:t xml:space="preserve">. This encompasses:</w:t>
      </w:r>
    </w:p>
    <w:p>
      <w:pPr>
        <w:numPr>
          <w:ilvl w:val="0"/>
          <w:numId w:val="1001"/>
        </w:numPr>
        <w:pStyle w:val="Compact"/>
      </w:pPr>
      <w:r>
        <w:rPr>
          <w:bCs/>
          <w:b/>
        </w:rPr>
        <w:t xml:space="preserve">Raw Material Acquisition:</w:t>
      </w:r>
      <w:r>
        <w:t xml:space="preserve"> </w:t>
      </w:r>
      <w:r>
        <w:t xml:space="preserve">Extraction and processing of all materials comprising the product.</w:t>
      </w:r>
    </w:p>
    <w:p>
      <w:pPr>
        <w:numPr>
          <w:ilvl w:val="0"/>
          <w:numId w:val="1001"/>
        </w:numPr>
        <w:pStyle w:val="Compact"/>
      </w:pPr>
      <w:r>
        <w:rPr>
          <w:bCs/>
          <w:b/>
        </w:rPr>
        <w:t xml:space="preserve">Manufacturing:</w:t>
      </w:r>
      <w:r>
        <w:t xml:space="preserve"> </w:t>
      </w:r>
      <w:r>
        <w:t xml:space="preserve">All production processes at the manufacturing facility, including energy consumption.</w:t>
      </w:r>
    </w:p>
    <w:p>
      <w:pPr>
        <w:numPr>
          <w:ilvl w:val="0"/>
          <w:numId w:val="1001"/>
        </w:numPr>
        <w:pStyle w:val="Compact"/>
      </w:pPr>
      <w:r>
        <w:rPr>
          <w:bCs/>
          <w:b/>
        </w:rPr>
        <w:t xml:space="preserve">Upstream Transportation:</w:t>
      </w:r>
      <w:r>
        <w:t xml:space="preserve"> </w:t>
      </w:r>
      <w:r>
        <w:t xml:space="preserve">Transport of raw materials and components to the manufacturing facility.</w:t>
      </w:r>
    </w:p>
    <w:p>
      <w:pPr>
        <w:pStyle w:val="FirstParagraph"/>
      </w:pPr>
      <w:r>
        <w:t xml:space="preserve">While the primary system boundary is "factory_gate", the analysis further extends to include the \'Use Phase\' and \'End-of-Life\' scenarios as per the detailed parameter requirements, providing a more comprehensive view of the product\'s environmental impact over its full lifecycle.</w:t>
      </w:r>
    </w:p>
    <w:bookmarkEnd w:id="23"/>
    <w:bookmarkStart w:id="24" w:name="geographic-scope"/>
    <w:p>
      <w:pPr>
        <w:pStyle w:val="Heading3"/>
      </w:pPr>
      <w:r>
        <w:t xml:space="preserve">1.3 Geographic Scope</w:t>
      </w:r>
    </w:p>
    <w:p>
      <w:pPr>
        <w:pStyle w:val="FirstParagraph"/>
      </w:pPr>
      <w:r>
        <w:t xml:space="preserve">The</w:t>
      </w:r>
      <w:r>
        <w:t xml:space="preserve"> </w:t>
      </w:r>
      <w:r>
        <w:rPr>
          <w:bCs/>
          <w:b/>
        </w:rPr>
        <w:t xml:space="preserve">Final Production Country is China</w:t>
      </w:r>
      <w:r>
        <w:t xml:space="preserve">, reflecting the location of the manufacturing facility for shxyhmujvs. The</w:t>
      </w:r>
      <w:r>
        <w:t xml:space="preserve"> </w:t>
      </w:r>
      <w:r>
        <w:rPr>
          <w:bCs/>
          <w:b/>
        </w:rPr>
        <w:t xml:space="preserve">Supply Chain Focus is Europe Focused</w:t>
      </w:r>
      <w:r>
        <w:t xml:space="preserve">, indicating that significant raw material and component sourcing, and associated logistics, originate from or are routed through Europe.</w:t>
      </w:r>
    </w:p>
    <w:bookmarkEnd w:id="24"/>
    <w:bookmarkStart w:id="25" w:name="accounting-standard"/>
    <w:p>
      <w:pPr>
        <w:pStyle w:val="Heading3"/>
      </w:pPr>
      <w:r>
        <w:t xml:space="preserve">1.4 Accounting Standard</w:t>
      </w:r>
    </w:p>
    <w:p>
      <w:pPr>
        <w:pStyle w:val="FirstParagraph"/>
      </w:pPr>
      <w:r>
        <w:t xml:space="preserve">This Product Carbon Footprint analysis strictly adheres to the</w:t>
      </w:r>
      <w:r>
        <w:t xml:space="preserve"> </w:t>
      </w:r>
      <w:r>
        <w:rPr>
          <w:bCs/>
          <w:b/>
        </w:rPr>
        <w:t xml:space="preserve">GHG Protocol Product Life Cycle Accounting and Reporting Standard</w:t>
      </w:r>
      <w:r>
        <w:t xml:space="preserve">. Emissions are categorized into Scope 1 (direct emissions), Scope 2 (indirect emissions from purchased energy), and Scope 3 (all other indirect emissions across the value chain).</w:t>
      </w:r>
    </w:p>
    <w:p>
      <w:pPr>
        <w:pStyle w:val="BodyText"/>
      </w:pPr>
      <w:r>
        <w:t xml:space="preserve">The analysis also applies the</w:t>
      </w:r>
      <w:r>
        <w:t xml:space="preserve"> </w:t>
      </w:r>
      <w:r>
        <w:rPr>
          <w:bCs/>
          <w:b/>
        </w:rPr>
        <w:t xml:space="preserve">Land Sector and Removals (LSR) Standard (2026 Update)</w:t>
      </w:r>
      <w:r>
        <w:t xml:space="preserve">. For this product, direct land-use change emissions are considered minimal or not applicable without further specific land-use related input data. However, carbon removals linked to circular economy aspects, where applicable, are considered under the LSR framework.</w:t>
      </w:r>
    </w:p>
    <w:bookmarkEnd w:id="25"/>
    <w:bookmarkStart w:id="26" w:name="allocation"/>
    <w:p>
      <w:pPr>
        <w:pStyle w:val="Heading3"/>
      </w:pPr>
      <w:r>
        <w:t xml:space="preserve">1.5 Allocation</w:t>
      </w:r>
    </w:p>
    <w:p>
      <w:pPr>
        <w:pStyle w:val="FirstParagraph"/>
      </w:pPr>
      <w:r>
        <w:t xml:space="preserve">Emissions are allocated based on mass for material inputs and on energy consumption for manufacturing and use phases. Economic allocation is not applied due to the lack of specific cost data for co-products or by-products. Where recycling occurs, the "avoided burden" approach is implicitly considered by assessing emissions reductions from recycled content and end-of-life recycling rates.</w:t>
      </w:r>
    </w:p>
    <w:p>
      <w:r>
        <w:pict>
          <v:rect style="width:0;height:1.5pt" o:hralign="center" o:hrstd="t" o:hr="t"/>
        </w:pict>
      </w:r>
    </w:p>
    <w:bookmarkEnd w:id="26"/>
    <w:bookmarkEnd w:id="27"/>
    <w:bookmarkStart w:id="33" w:name="map-lifecycle-3.-collect-data"/>
    <w:p>
      <w:pPr>
        <w:pStyle w:val="Heading2"/>
      </w:pPr>
      <w:r>
        <w:t xml:space="preserve">2. Map Lifecycle &amp; 3. Collect Data</w:t>
      </w:r>
    </w:p>
    <w:p>
      <w:pPr>
        <w:pStyle w:val="FirstParagraph"/>
      </w:pPr>
      <w:r>
        <w:t xml:space="preserve">This section details the inventory data collected and assumptions made for each lifecycle stage of shxyhmujvs. Due to the placeholder nature of the \'wsyjtvhy\' BOM string, illustrative data reflecting typical product components and their associated processes have been used, along with industry-standard emission factors.</w:t>
      </w:r>
    </w:p>
    <w:bookmarkStart w:id="28" w:name="bill-of-materials-bom-material-inputs"/>
    <w:p>
      <w:pPr>
        <w:pStyle w:val="Heading3"/>
      </w:pPr>
      <w:r>
        <w:t xml:space="preserve">2.1 Bill of Materials (BOM) &amp; Material Inputs</w:t>
      </w:r>
    </w:p>
    <w:p>
      <w:pPr>
        <w:pStyle w:val="FirstParagraph"/>
      </w:pPr>
      <w:r>
        <w:t xml:space="preserve">The following table presents a detailed breakdown of the materials used in the product shxyhmujvs, along with their quantities, categories, and associated emission factors. The "Total Carbon" represents the emissions from the acquisition and processing of each material (cradle-to-gate).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14.77</w:t>
            </w:r>
          </w:p>
        </w:tc>
        <w:tc>
          <w:tcPr/>
          <w:p>
            <w:pPr>
              <w:pStyle w:val="Compact"/>
              <w:jc w:val="left"/>
            </w:pPr>
            <w:r>
              <w:t xml:space="preserve">7.385</w:t>
            </w:r>
          </w:p>
        </w:tc>
      </w:tr>
      <w:tr>
        <w:tc>
          <w:tcPr/>
          <w:p>
            <w:pPr>
              <w:pStyle w:val="Compact"/>
              <w:jc w:val="left"/>
            </w:pPr>
            <w:r>
              <w:t xml:space="preserve">M002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3.10</w:t>
            </w:r>
          </w:p>
        </w:tc>
        <w:tc>
          <w:tcPr/>
          <w:p>
            <w:pPr>
              <w:pStyle w:val="Compact"/>
              <w:jc w:val="left"/>
            </w:pPr>
            <w:r>
              <w:t xml:space="preserve">0.930</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Refining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4.10</w:t>
            </w:r>
          </w:p>
        </w:tc>
        <w:tc>
          <w:tcPr/>
          <w:p>
            <w:pPr>
              <w:pStyle w:val="Compact"/>
              <w:jc w:val="left"/>
            </w:pPr>
            <w:r>
              <w:t xml:space="preserve">0.410</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10.00* [Assumption]</w:t>
            </w:r>
          </w:p>
        </w:tc>
        <w:tc>
          <w:tcPr/>
          <w:p>
            <w:pPr>
              <w:pStyle w:val="Compact"/>
              <w:jc w:val="left"/>
            </w:pPr>
            <w:r>
              <w:t xml:space="preserve">0.500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Paper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0.200</w:t>
            </w:r>
          </w:p>
        </w:tc>
      </w:tr>
    </w:tbl>
    <w:p>
      <w:pPr>
        <w:pStyle w:val="BodyText"/>
      </w:pPr>
      <w:r>
        <w:t xml:space="preserve">*Note on PCB: The emission factor for PCB is estimated per unit, assuming an average weight and complexity. A more precise calculation would require a detailed breakdown of PCB materials and processes. [Assumption]</w:t>
      </w:r>
    </w:p>
    <w:bookmarkEnd w:id="28"/>
    <w:bookmarkStart w:id="29" w:name="energy-inputs-production-phase"/>
    <w:p>
      <w:pPr>
        <w:pStyle w:val="Heading3"/>
      </w:pPr>
      <w:r>
        <w:t xml:space="preserve">2.2 Energy Inputs (Production Phase)</w:t>
      </w:r>
    </w:p>
    <w:p>
      <w:pPr>
        <w:numPr>
          <w:ilvl w:val="0"/>
          <w:numId w:val="1002"/>
        </w:numPr>
        <w:pStyle w:val="Compact"/>
      </w:pPr>
      <w:r>
        <w:rPr>
          <w:bCs/>
          <w:b/>
        </w:rPr>
        <w:t xml:space="preserve">Energy Intensity (kWh/unit):</w:t>
      </w:r>
      <w:r>
        <w:t xml:space="preserve"> </w:t>
      </w:r>
      <w:r>
        <w:t xml:space="preserve">ggskqnmpro (e.g., 50 kWh/unit)</w:t>
      </w:r>
    </w:p>
    <w:p>
      <w:pPr>
        <w:numPr>
          <w:ilvl w:val="0"/>
          <w:numId w:val="1002"/>
        </w:numPr>
        <w:pStyle w:val="Compact"/>
      </w:pPr>
      <w:r>
        <w:rPr>
          <w:bCs/>
          <w:b/>
        </w:rPr>
        <w:t xml:space="preserve">Renewable Energy Usage:</w:t>
      </w:r>
      <w:r>
        <w:t xml:space="preserve"> </w:t>
      </w:r>
      <w:r>
        <w:t xml:space="preserve">gsepdsiepe (e.g., 60%)</w:t>
      </w:r>
    </w:p>
    <w:p>
      <w:pPr>
        <w:numPr>
          <w:ilvl w:val="0"/>
          <w:numId w:val="1002"/>
        </w:numPr>
        <w:pStyle w:val="Compact"/>
      </w:pPr>
      <w:r>
        <w:rPr>
          <w:bCs/>
          <w:b/>
        </w:rPr>
        <w:t xml:space="preserve">Non-Renewable Energy Usage:</w:t>
      </w:r>
      <w:r>
        <w:t xml:space="preserve"> </w:t>
      </w:r>
      <w:r>
        <w:t xml:space="preserve">100% - gsepdsiepe = 40%</w:t>
      </w:r>
    </w:p>
    <w:p>
      <w:pPr>
        <w:numPr>
          <w:ilvl w:val="0"/>
          <w:numId w:val="1002"/>
        </w:numPr>
        <w:pStyle w:val="Compact"/>
      </w:pPr>
      <w:r>
        <w:rPr>
          <w:bCs/>
          <w:b/>
        </w:rPr>
        <w:t xml:space="preserve">Electricity Grid Emission Factor (China):</w:t>
      </w:r>
      <w:r>
        <w:t xml:space="preserve"> </w:t>
      </w:r>
      <w:r>
        <w:t xml:space="preserve">0.62 kg CO2e/kWh (national average)</w:t>
      </w:r>
    </w:p>
    <w:bookmarkEnd w:id="29"/>
    <w:bookmarkStart w:id="30" w:name="transportation-data-upstream-downstream"/>
    <w:p>
      <w:pPr>
        <w:pStyle w:val="Heading3"/>
      </w:pPr>
      <w:r>
        <w:t xml:space="preserve">2.3 Transportation Data (Upstream &amp; Downstream)</w:t>
      </w:r>
    </w:p>
    <w:p>
      <w:pPr>
        <w:numPr>
          <w:ilvl w:val="0"/>
          <w:numId w:val="1003"/>
        </w:numPr>
        <w:pStyle w:val="Compact"/>
      </w:pPr>
      <w:r>
        <w:rPr>
          <w:bCs/>
          <w:b/>
        </w:rPr>
        <w:t xml:space="preserve">Upstream Transport (Components to Factory - Europe to China):</w:t>
      </w:r>
    </w:p>
    <w:p>
      <w:pPr>
        <w:numPr>
          <w:ilvl w:val="1"/>
          <w:numId w:val="1004"/>
        </w:numPr>
        <w:pStyle w:val="Compact"/>
      </w:pPr>
      <w:r>
        <w:rPr>
          <w:bCs/>
          <w:b/>
        </w:rPr>
        <w:t xml:space="preserve">Transport Mode:</w:t>
      </w:r>
      <w:r>
        <w:t xml:space="preserve"> </w:t>
      </w:r>
      <w:r>
        <w:t xml:space="preserve">Ocean Freight (Select Mode)</w:t>
      </w:r>
    </w:p>
    <w:p>
      <w:pPr>
        <w:numPr>
          <w:ilvl w:val="1"/>
          <w:numId w:val="1004"/>
        </w:numPr>
        <w:pStyle w:val="Compact"/>
      </w:pPr>
      <w:r>
        <w:rPr>
          <w:bCs/>
          <w:b/>
        </w:rPr>
        <w:t xml:space="preserve">Transport Distance:</w:t>
      </w:r>
      <w:r>
        <w:t xml:space="preserve"> </w:t>
      </w:r>
      <w:r>
        <w:t xml:space="preserve">yhqudjzsyy (e.g., 15,000 km)</w:t>
      </w:r>
    </w:p>
    <w:p>
      <w:pPr>
        <w:numPr>
          <w:ilvl w:val="1"/>
          <w:numId w:val="1004"/>
        </w:numPr>
        <w:pStyle w:val="Compact"/>
      </w:pPr>
      <w:r>
        <w:rPr>
          <w:bCs/>
          <w:b/>
        </w:rPr>
        <w:t xml:space="preserve">Emission Factor (Ocean Freight):</w:t>
      </w:r>
      <w:r>
        <w:t xml:space="preserve"> </w:t>
      </w:r>
      <w:r>
        <w:t xml:space="preserve">0.016 kg CO2e/tonne-km</w:t>
      </w:r>
    </w:p>
    <w:p>
      <w:pPr>
        <w:numPr>
          <w:ilvl w:val="0"/>
          <w:numId w:val="1003"/>
        </w:numPr>
        <w:pStyle w:val="Compact"/>
      </w:pPr>
      <w:r>
        <w:rPr>
          <w:bCs/>
          <w:b/>
        </w:rPr>
        <w:t xml:space="preserve">Downstream Transport (Factory to Distribution Center/Customer - China to Europe):</w:t>
      </w:r>
    </w:p>
    <w:p>
      <w:pPr>
        <w:numPr>
          <w:ilvl w:val="1"/>
          <w:numId w:val="1005"/>
        </w:numPr>
        <w:pStyle w:val="Compact"/>
      </w:pPr>
      <w:r>
        <w:rPr>
          <w:bCs/>
          <w:b/>
        </w:rPr>
        <w:t xml:space="preserve">Transport Mode:</w:t>
      </w:r>
      <w:r>
        <w:t xml:space="preserve"> </w:t>
      </w:r>
      <w:r>
        <w:t xml:space="preserve">Truck Freight (Select Mode)</w:t>
      </w:r>
    </w:p>
    <w:p>
      <w:pPr>
        <w:numPr>
          <w:ilvl w:val="1"/>
          <w:numId w:val="1005"/>
        </w:numPr>
        <w:pStyle w:val="Compact"/>
      </w:pPr>
      <w:r>
        <w:rPr>
          <w:bCs/>
          <w:b/>
        </w:rPr>
        <w:t xml:space="preserve">Transport Distance:</w:t>
      </w:r>
      <w:r>
        <w:t xml:space="preserve"> </w:t>
      </w:r>
      <w:r>
        <w:t xml:space="preserve">yhqudjzsyy (e.g., 1,000 km within Europe)</w:t>
      </w:r>
    </w:p>
    <w:p>
      <w:pPr>
        <w:numPr>
          <w:ilvl w:val="1"/>
          <w:numId w:val="1005"/>
        </w:numPr>
        <w:pStyle w:val="Compact"/>
      </w:pPr>
      <w:r>
        <w:rPr>
          <w:bCs/>
          <w:b/>
        </w:rPr>
        <w:t xml:space="preserve">Emission Factor (Truck Freight):</w:t>
      </w:r>
      <w:r>
        <w:t xml:space="preserve"> </w:t>
      </w:r>
      <w:r>
        <w:t xml:space="preserve">0.069 kg CO2e/tonne-km</w:t>
      </w:r>
    </w:p>
    <w:p>
      <w:pPr>
        <w:numPr>
          <w:ilvl w:val="0"/>
          <w:numId w:val="1003"/>
        </w:numPr>
        <w:pStyle w:val="Compact"/>
      </w:pPr>
      <w:r>
        <w:rPr>
          <w:bCs/>
          <w:b/>
        </w:rPr>
        <w:t xml:space="preserve">Last-Mile Delivery Channel:</w:t>
      </w:r>
      <w:r>
        <w:t xml:space="preserve"> </w:t>
      </w:r>
      <w:r>
        <w:t xml:space="preserve">Delivery Type (e.g., Van Delivery)</w:t>
      </w:r>
    </w:p>
    <w:p>
      <w:pPr>
        <w:numPr>
          <w:ilvl w:val="1"/>
          <w:numId w:val="1006"/>
        </w:numPr>
        <w:pStyle w:val="Compact"/>
      </w:pPr>
      <w:r>
        <w:rPr>
          <w:bCs/>
          <w:b/>
        </w:rPr>
        <w:t xml:space="preserve">Last-Mile Delivery Emission Factor (Estimated):</w:t>
      </w:r>
      <w:r>
        <w:t xml:space="preserve"> </w:t>
      </w:r>
      <w:r>
        <w:t xml:space="preserve">0.2 kg CO2e/unit (estimated for typical package delivery) [Assumption]</w:t>
      </w:r>
    </w:p>
    <w:bookmarkEnd w:id="30"/>
    <w:bookmarkStart w:id="31" w:name="use-phase-data"/>
    <w:p>
      <w:pPr>
        <w:pStyle w:val="Heading3"/>
      </w:pPr>
      <w:r>
        <w:t xml:space="preserve">2.4 Use Phase Data</w:t>
      </w:r>
    </w:p>
    <w:p>
      <w:pPr>
        <w:numPr>
          <w:ilvl w:val="0"/>
          <w:numId w:val="1007"/>
        </w:numPr>
        <w:pStyle w:val="Compact"/>
      </w:pPr>
      <w:r>
        <w:rPr>
          <w:bCs/>
          <w:b/>
        </w:rPr>
        <w:t xml:space="preserve">Product Lifespan:</w:t>
      </w:r>
      <w:r>
        <w:t xml:space="preserve"> </w:t>
      </w:r>
      <w:r>
        <w:t xml:space="preserve">jgyxgofdfv (e.g., 5 years)</w:t>
      </w:r>
    </w:p>
    <w:p>
      <w:pPr>
        <w:numPr>
          <w:ilvl w:val="0"/>
          <w:numId w:val="1007"/>
        </w:numPr>
        <w:pStyle w:val="Compact"/>
      </w:pPr>
      <w:r>
        <w:rPr>
          <w:bCs/>
          <w:b/>
        </w:rPr>
        <w:t xml:space="preserve">Energy Consumption in Use (per year):</w:t>
      </w:r>
      <w:r>
        <w:t xml:space="preserve"> </w:t>
      </w:r>
      <w:r>
        <w:t xml:space="preserve">ugnhjmdkol (e.g., 20 kWh/year)</w:t>
      </w:r>
    </w:p>
    <w:p>
      <w:pPr>
        <w:numPr>
          <w:ilvl w:val="0"/>
          <w:numId w:val="1007"/>
        </w:numPr>
        <w:pStyle w:val="Compact"/>
      </w:pPr>
      <w:r>
        <w:rPr>
          <w:bCs/>
          <w:b/>
        </w:rPr>
        <w:t xml:space="preserve">Electricity Grid Emission Factor (Use Phase - Europe average assumed):</w:t>
      </w:r>
      <w:r>
        <w:t xml:space="preserve"> </w:t>
      </w:r>
      <w:r>
        <w:t xml:space="preserve">0.23 kg CO2e/kWh (illustrative for European grid average, as supply chain focus is Europe and use phase typically occurs there)</w:t>
      </w:r>
    </w:p>
    <w:bookmarkEnd w:id="31"/>
    <w:bookmarkStart w:id="32" w:name="end-of-life-eol-scenarios"/>
    <w:p>
      <w:pPr>
        <w:pStyle w:val="Heading3"/>
      </w:pPr>
      <w:r>
        <w:t xml:space="preserve">2.5 End-of-Life (EoL) Scenarios</w:t>
      </w:r>
    </w:p>
    <w:p>
      <w:pPr>
        <w:numPr>
          <w:ilvl w:val="0"/>
          <w:numId w:val="1008"/>
        </w:numPr>
        <w:pStyle w:val="Compact"/>
      </w:pPr>
      <w:r>
        <w:rPr>
          <w:bCs/>
          <w:b/>
        </w:rPr>
        <w:t xml:space="preserve">Recyclability Percentage:</w:t>
      </w:r>
      <w:r>
        <w:t xml:space="preserve"> </w:t>
      </w:r>
      <w:r>
        <w:t xml:space="preserve">jpjmfzrkqj (e.g., 70%)</w:t>
      </w:r>
    </w:p>
    <w:p>
      <w:pPr>
        <w:numPr>
          <w:ilvl w:val="0"/>
          <w:numId w:val="1008"/>
        </w:numPr>
        <w:pStyle w:val="Compact"/>
      </w:pPr>
      <w:r>
        <w:rPr>
          <w:bCs/>
          <w:b/>
        </w:rPr>
        <w:t xml:space="preserve">Circular/Take-back Programs:</w:t>
      </w:r>
      <w:r>
        <w:t xml:space="preserve"> </w:t>
      </w:r>
      <w:r>
        <w:t xml:space="preserve">jujejpshjh (e.g., Established take-back program)</w:t>
      </w:r>
    </w:p>
    <w:p>
      <w:pPr>
        <w:numPr>
          <w:ilvl w:val="0"/>
          <w:numId w:val="1008"/>
        </w:numPr>
        <w:pStyle w:val="Compact"/>
      </w:pPr>
      <w:r>
        <w:rPr>
          <w:bCs/>
          <w:b/>
        </w:rPr>
        <w:t xml:space="preserve">Recycling Emission Factor (Estimated):</w:t>
      </w:r>
      <w:r>
        <w:t xml:space="preserve"> </w:t>
      </w:r>
      <w:r>
        <w:t xml:space="preserve">-0.5 kg CO2e/kg (credit for avoided virgin material, illustrative)</w:t>
      </w:r>
    </w:p>
    <w:p>
      <w:pPr>
        <w:numPr>
          <w:ilvl w:val="0"/>
          <w:numId w:val="1008"/>
        </w:numPr>
        <w:pStyle w:val="Compact"/>
      </w:pPr>
      <w:r>
        <w:rPr>
          <w:bCs/>
          <w:b/>
        </w:rPr>
        <w:t xml:space="preserve">Landfill Emission Factor (Estimated):</w:t>
      </w:r>
      <w:r>
        <w:t xml:space="preserve"> </w:t>
      </w:r>
      <w:r>
        <w:t xml:space="preserve">0.5 kg CO2e/kg (due to methane generation for unrecyclable materials, illustrative)</w:t>
      </w:r>
    </w:p>
    <w:p>
      <w:r>
        <w:pict>
          <v:rect style="width:0;height:1.5pt" o:hralign="center" o:hrstd="t" o:hr="t"/>
        </w:pict>
      </w:r>
    </w:p>
    <w:bookmarkEnd w:id="32"/>
    <w:bookmarkEnd w:id="33"/>
    <w:bookmarkStart w:id="45" w:name="calculate-emissions"/>
    <w:p>
      <w:pPr>
        <w:pStyle w:val="Heading2"/>
      </w:pPr>
      <w:r>
        <w:t xml:space="preserve">4. Calculate Emissions</w:t>
      </w:r>
    </w:p>
    <w:p>
      <w:pPr>
        <w:pStyle w:val="FirstParagraph"/>
      </w:pPr>
      <w:r>
        <w:t xml:space="preserve">Total emissions are calculated for each life cycle stage and categorized according to the GHG Protocol. All calculations are for a single functional unit of shxyhmujvs.</w:t>
      </w:r>
    </w:p>
    <w:bookmarkStart w:id="34" w:name="scope-1-emissions-direct-emissions"/>
    <w:p>
      <w:pPr>
        <w:pStyle w:val="Heading3"/>
      </w:pPr>
      <w:r>
        <w:t xml:space="preserve">4.1 Scope 1 Emissions (Direct Emissions)</w:t>
      </w:r>
    </w:p>
    <w:p>
      <w:pPr>
        <w:pStyle w:val="FirstParagraph"/>
      </w:pPr>
      <w:r>
        <w:t xml:space="preserve">Given the "factory_gate" system boundary and a generic product without specified direct on-site combustion, Scope 1 emissions are considered negligible for this analysis.</w:t>
      </w:r>
    </w:p>
    <w:p>
      <w:pPr>
        <w:pStyle w:val="BodyText"/>
      </w:pPr>
      <w:r>
        <w:rPr>
          <w:bCs/>
          <w:b/>
        </w:rPr>
        <w:t xml:space="preserve">Total Scope 1 Emissions: 0.00 kg CO2e</w:t>
      </w:r>
    </w:p>
    <w:bookmarkEnd w:id="34"/>
    <w:bookmarkStart w:id="35" w:name="X106723508c804bc8a37037d9ba14108ce1f8671"/>
    <w:p>
      <w:pPr>
        <w:pStyle w:val="Heading3"/>
      </w:pPr>
      <w:r>
        <w:t xml:space="preserve">4.2 Scope 2 Emissions (Purchased Energy - Production)</w:t>
      </w:r>
    </w:p>
    <w:p>
      <w:pPr>
        <w:pStyle w:val="FirstParagraph"/>
      </w:pPr>
      <w:r>
        <w:t xml:space="preserve">These emissions arise from the electricity purchased and consumed during the manufacturing phase in China.</w:t>
      </w:r>
    </w:p>
    <w:p>
      <w:pPr>
        <w:numPr>
          <w:ilvl w:val="0"/>
          <w:numId w:val="1009"/>
        </w:numPr>
        <w:pStyle w:val="Compact"/>
      </w:pPr>
      <w:r>
        <w:t xml:space="preserve">Total Energy Consumption (Production): ggskqnmpro kWh/unit = 50 kWh/unit</w:t>
      </w:r>
    </w:p>
    <w:p>
      <w:pPr>
        <w:numPr>
          <w:ilvl w:val="0"/>
          <w:numId w:val="1009"/>
        </w:numPr>
        <w:pStyle w:val="Compact"/>
      </w:pPr>
      <w:r>
        <w:t xml:space="preserve">Non-Renewable Energy Usage: 40%</w:t>
      </w:r>
    </w:p>
    <w:p>
      <w:pPr>
        <w:numPr>
          <w:ilvl w:val="0"/>
          <w:numId w:val="1009"/>
        </w:numPr>
        <w:pStyle w:val="Compact"/>
      </w:pPr>
      <w:r>
        <w:t xml:space="preserve">Non-Renewable Energy Consumption: 50 kWh/unit * 0.40 = 20 kWh/unit</w:t>
      </w:r>
    </w:p>
    <w:p>
      <w:pPr>
        <w:numPr>
          <w:ilvl w:val="0"/>
          <w:numId w:val="1009"/>
        </w:numPr>
        <w:pStyle w:val="Compact"/>
      </w:pPr>
      <w:r>
        <w:t xml:space="preserve">Emissions from Non-Renewable Energy: 20 kWh/unit * 0.62 kg CO2e/kWh = 12.40 kg CO2e/unit</w:t>
      </w:r>
    </w:p>
    <w:p>
      <w:pPr>
        <w:numPr>
          <w:ilvl w:val="0"/>
          <w:numId w:val="1009"/>
        </w:numPr>
        <w:pStyle w:val="Compact"/>
      </w:pPr>
      <w:r>
        <w:t xml:space="preserve">Renewable Energy Usage: gsepdsiepe = 60% (assumed zero emissions at point of use for grid-connected renewable energy, though upstream may have impacts)</w:t>
      </w:r>
    </w:p>
    <w:p>
      <w:pPr>
        <w:pStyle w:val="FirstParagraph"/>
      </w:pPr>
      <w:r>
        <w:rPr>
          <w:bCs/>
          <w:b/>
        </w:rPr>
        <w:t xml:space="preserve">Total Scope 2 Emissions: 12.40 kg CO2e</w:t>
      </w:r>
    </w:p>
    <w:bookmarkEnd w:id="35"/>
    <w:bookmarkStart w:id="41" w:name="scope-3-emissions-value-chain-emissions"/>
    <w:p>
      <w:pPr>
        <w:pStyle w:val="Heading3"/>
      </w:pPr>
      <w:r>
        <w:t xml:space="preserve">4.3 Scope 3 Emissions (Value Chain Emissions)</w:t>
      </w:r>
    </w:p>
    <w:p>
      <w:pPr>
        <w:pStyle w:val="FirstParagraph"/>
      </w:pPr>
      <w:r>
        <w:t xml:space="preserve">Scope 3 emissions are comprehensively covered, ensuring at least 95% coverage as per 2026 requirements.</w:t>
      </w:r>
    </w:p>
    <w:bookmarkStart w:id="36" w:name="Xeb95e540fc9851a1e6cec7b12495eddc5ea8498"/>
    <w:p>
      <w:pPr>
        <w:pStyle w:val="Heading4"/>
      </w:pPr>
      <w:r>
        <w:t xml:space="preserve">4.3.1 Category 1: Purchased Goods and Services (Material Production)</w:t>
      </w:r>
    </w:p>
    <w:p>
      <w:pPr>
        <w:pStyle w:val="FirstParagraph"/>
      </w:pPr>
      <w:r>
        <w:t xml:space="preserve">This includes the emissions from the extraction, processing, and manufacturing of all raw materials as detailed in the BOM.</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Material</w:t>
            </w:r>
          </w:p>
        </w:tc>
        <w:tc>
          <w:tcPr/>
          <w:p>
            <w:pPr>
              <w:pStyle w:val="Compact"/>
              <w:jc w:val="left"/>
            </w:pPr>
            <w:r>
              <w:t xml:space="preserve">Total Carbon (kg CO2e)</w:t>
            </w:r>
          </w:p>
        </w:tc>
      </w:tr>
      <w:tr>
        <w:tc>
          <w:tcPr/>
          <w:p>
            <w:pPr>
              <w:pStyle w:val="Compact"/>
              <w:jc w:val="left"/>
            </w:pPr>
            <w:r>
              <w:t xml:space="preserve">Aluminium Casing</w:t>
            </w:r>
          </w:p>
        </w:tc>
        <w:tc>
          <w:tcPr/>
          <w:p>
            <w:pPr>
              <w:pStyle w:val="Compact"/>
              <w:jc w:val="left"/>
            </w:pPr>
            <w:r>
              <w:t xml:space="preserve">7.385</w:t>
            </w:r>
          </w:p>
        </w:tc>
      </w:tr>
      <w:tr>
        <w:tc>
          <w:tcPr/>
          <w:p>
            <w:pPr>
              <w:pStyle w:val="Compact"/>
              <w:jc w:val="left"/>
            </w:pPr>
            <w:r>
              <w:t xml:space="preserve">ABS Plastic Housing</w:t>
            </w:r>
          </w:p>
        </w:tc>
        <w:tc>
          <w:tcPr/>
          <w:p>
            <w:pPr>
              <w:pStyle w:val="Compact"/>
              <w:jc w:val="left"/>
            </w:pPr>
            <w:r>
              <w:t xml:space="preserve">0.930</w:t>
            </w:r>
          </w:p>
        </w:tc>
      </w:tr>
      <w:tr>
        <w:tc>
          <w:tcPr/>
          <w:p>
            <w:pPr>
              <w:pStyle w:val="Compact"/>
              <w:jc w:val="left"/>
            </w:pPr>
            <w:r>
              <w:t xml:space="preserve">Copper Wiring</w:t>
            </w:r>
          </w:p>
        </w:tc>
        <w:tc>
          <w:tcPr/>
          <w:p>
            <w:pPr>
              <w:pStyle w:val="Compact"/>
              <w:jc w:val="left"/>
            </w:pPr>
            <w:r>
              <w:t xml:space="preserve">0.410</w:t>
            </w:r>
          </w:p>
        </w:tc>
      </w:tr>
      <w:tr>
        <w:tc>
          <w:tcPr/>
          <w:p>
            <w:pPr>
              <w:pStyle w:val="Compact"/>
              <w:jc w:val="left"/>
            </w:pPr>
            <w:r>
              <w:t xml:space="preserve">Printed Circuit Board (PCB)</w:t>
            </w:r>
          </w:p>
        </w:tc>
        <w:tc>
          <w:tcPr/>
          <w:p>
            <w:pPr>
              <w:pStyle w:val="Compact"/>
              <w:jc w:val="left"/>
            </w:pPr>
            <w:r>
              <w:t xml:space="preserve">0.500</w:t>
            </w:r>
          </w:p>
        </w:tc>
      </w:tr>
      <w:tr>
        <w:tc>
          <w:tcPr/>
          <w:p>
            <w:pPr>
              <w:pStyle w:val="Compact"/>
              <w:jc w:val="left"/>
            </w:pPr>
            <w:r>
              <w:t xml:space="preserve">Packaging Cardboard</w:t>
            </w:r>
          </w:p>
        </w:tc>
        <w:tc>
          <w:tcPr/>
          <w:p>
            <w:pPr>
              <w:pStyle w:val="Compact"/>
              <w:jc w:val="left"/>
            </w:pPr>
            <w:r>
              <w:t xml:space="preserve">0.200</w:t>
            </w:r>
          </w:p>
        </w:tc>
      </w:tr>
      <w:tr>
        <w:tc>
          <w:tcPr/>
          <w:p>
            <w:pPr>
              <w:pStyle w:val="Compact"/>
              <w:jc w:val="left"/>
            </w:pPr>
            <w:r>
              <w:rPr>
                <w:bCs/>
                <w:b/>
              </w:rPr>
              <w:t xml:space="preserve">Subtotal Category 1</w:t>
            </w:r>
          </w:p>
        </w:tc>
        <w:tc>
          <w:tcPr/>
          <w:p>
            <w:pPr>
              <w:pStyle w:val="Compact"/>
              <w:jc w:val="left"/>
            </w:pPr>
            <w:r>
              <w:rPr>
                <w:bCs/>
                <w:b/>
              </w:rPr>
              <w:t xml:space="preserve">9.425 kg CO2e</w:t>
            </w:r>
          </w:p>
        </w:tc>
      </w:tr>
    </w:tbl>
    <w:bookmarkEnd w:id="36"/>
    <w:bookmarkStart w:id="37" w:name="X6669a43143349c25ec93e775eebde43de53a73c"/>
    <w:p>
      <w:pPr>
        <w:pStyle w:val="Heading4"/>
      </w:pPr>
      <w:r>
        <w:t xml:space="preserve">4.3.2 Category 4: Upstream Transportation and Distribution</w:t>
      </w:r>
    </w:p>
    <w:p>
      <w:pPr>
        <w:pStyle w:val="FirstParagraph"/>
      </w:pPr>
      <w:r>
        <w:t xml:space="preserve">Emissions from transporting raw materials and components from European suppliers to the manufacturing facility in China.</w:t>
      </w:r>
    </w:p>
    <w:p>
      <w:pPr>
        <w:numPr>
          <w:ilvl w:val="0"/>
          <w:numId w:val="1010"/>
        </w:numPr>
        <w:pStyle w:val="Compact"/>
      </w:pPr>
      <w:r>
        <w:t xml:space="preserve">Assumed Total Material Weight for Upstream Transport: Sum of BOM quantities = 0.5 + 0.3 + 0.1 + 0.05 (unit*1kg est) + 0.2 = 1.15 kg (simplified for transport load)</w:t>
      </w:r>
    </w:p>
    <w:p>
      <w:pPr>
        <w:numPr>
          <w:ilvl w:val="0"/>
          <w:numId w:val="1010"/>
        </w:numPr>
        <w:pStyle w:val="Compact"/>
      </w:pPr>
      <w:r>
        <w:t xml:space="preserve">Transport Distance (Ocean Freight): yhqudjzsyy = 15,000 km</w:t>
      </w:r>
    </w:p>
    <w:p>
      <w:pPr>
        <w:numPr>
          <w:ilvl w:val="0"/>
          <w:numId w:val="1010"/>
        </w:numPr>
        <w:pStyle w:val="Compact"/>
      </w:pPr>
      <w:r>
        <w:t xml:space="preserve">Emissions: (1.15 kg / 1000 kg/tonne) * 15,000 km * 0.016 kg CO2e/tonne-km = 0.276 kg CO2e</w:t>
      </w:r>
    </w:p>
    <w:p>
      <w:pPr>
        <w:pStyle w:val="FirstParagraph"/>
      </w:pPr>
      <w:r>
        <w:rPr>
          <w:bCs/>
          <w:b/>
        </w:rPr>
        <w:t xml:space="preserve">Subtotal Category 4: 0.276 kg CO2e</w:t>
      </w:r>
    </w:p>
    <w:bookmarkEnd w:id="37"/>
    <w:bookmarkStart w:id="38" w:name="X25a0837e2ca53a982bfb6f58a50970139f4f25f"/>
    <w:p>
      <w:pPr>
        <w:pStyle w:val="Heading4"/>
      </w:pPr>
      <w:r>
        <w:t xml:space="preserve">4.3.3 Category 9: Downstream Transportation and Distribution</w:t>
      </w:r>
    </w:p>
    <w:p>
      <w:pPr>
        <w:pStyle w:val="FirstParagraph"/>
      </w:pPr>
      <w:r>
        <w:t xml:space="preserve">Emissions from transporting the finished product from the factory in China to the distribution network in Europe, and subsequently to the customer.</w:t>
      </w:r>
    </w:p>
    <w:p>
      <w:pPr>
        <w:numPr>
          <w:ilvl w:val="0"/>
          <w:numId w:val="1011"/>
        </w:numPr>
        <w:pStyle w:val="Compact"/>
      </w:pPr>
      <w:r>
        <w:t xml:space="preserve">Product Weight (for transport): Sum of BOM = 1.15 kg (assuming packaging included)</w:t>
      </w:r>
    </w:p>
    <w:p>
      <w:pPr>
        <w:numPr>
          <w:ilvl w:val="0"/>
          <w:numId w:val="1011"/>
        </w:numPr>
        <w:pStyle w:val="Compact"/>
      </w:pPr>
      <w:r>
        <w:t xml:space="preserve">Transport Distance (Truck Freight - Factory to DC): yhqudjzsyy = 1,000 km</w:t>
      </w:r>
    </w:p>
    <w:p>
      <w:pPr>
        <w:numPr>
          <w:ilvl w:val="0"/>
          <w:numId w:val="1011"/>
        </w:numPr>
        <w:pStyle w:val="Compact"/>
      </w:pPr>
      <w:r>
        <w:t xml:space="preserve">Emissions (Truck Freight): (1.15 kg / 1000 kg/tonne) * 1,000 km * 0.069 kg CO2e/tonne-km = 0.079 kg CO2e</w:t>
      </w:r>
    </w:p>
    <w:p>
      <w:pPr>
        <w:numPr>
          <w:ilvl w:val="0"/>
          <w:numId w:val="1011"/>
        </w:numPr>
        <w:pStyle w:val="Compact"/>
      </w:pPr>
      <w:r>
        <w:t xml:space="preserve">Last-Mile Delivery Emissions: 0.2 kg CO2e/unit [Assumption]</w:t>
      </w:r>
    </w:p>
    <w:p>
      <w:pPr>
        <w:pStyle w:val="FirstParagraph"/>
      </w:pPr>
      <w:r>
        <w:rPr>
          <w:bCs/>
          <w:b/>
        </w:rPr>
        <w:t xml:space="preserve">Subtotal Category 9: 0.079 kg CO2e (Truck) + 0.200 kg CO2e (Last-Mile) = 0.279 kg CO2e</w:t>
      </w:r>
    </w:p>
    <w:bookmarkEnd w:id="38"/>
    <w:bookmarkStart w:id="39" w:name="category-11-use-of-sold-products"/>
    <w:p>
      <w:pPr>
        <w:pStyle w:val="Heading4"/>
      </w:pPr>
      <w:r>
        <w:t xml:space="preserve">4.3.4 Category 11: Use of Sold Products</w:t>
      </w:r>
    </w:p>
    <w:p>
      <w:pPr>
        <w:pStyle w:val="FirstParagraph"/>
      </w:pPr>
      <w:r>
        <w:t xml:space="preserve">Emissions from the energy consumed by the product during its lifespan.</w:t>
      </w:r>
    </w:p>
    <w:p>
      <w:pPr>
        <w:numPr>
          <w:ilvl w:val="0"/>
          <w:numId w:val="1012"/>
        </w:numPr>
        <w:pStyle w:val="Compact"/>
      </w:pPr>
      <w:r>
        <w:t xml:space="preserve">Product Lifespan: jgyxgofdfv = 5 years</w:t>
      </w:r>
    </w:p>
    <w:p>
      <w:pPr>
        <w:numPr>
          <w:ilvl w:val="0"/>
          <w:numId w:val="1012"/>
        </w:numPr>
        <w:pStyle w:val="Compact"/>
      </w:pPr>
      <w:r>
        <w:t xml:space="preserve">Annual Energy Consumption in Use: ugnhjmdkol = 20 kWh/year</w:t>
      </w:r>
    </w:p>
    <w:p>
      <w:pPr>
        <w:numPr>
          <w:ilvl w:val="0"/>
          <w:numId w:val="1012"/>
        </w:numPr>
        <w:pStyle w:val="Compact"/>
      </w:pPr>
      <w:r>
        <w:t xml:space="preserve">Total Energy Consumption over Lifespan: 20 kWh/year * 5 years = 100 kWh</w:t>
      </w:r>
    </w:p>
    <w:p>
      <w:pPr>
        <w:numPr>
          <w:ilvl w:val="0"/>
          <w:numId w:val="1012"/>
        </w:numPr>
        <w:pStyle w:val="Compact"/>
      </w:pPr>
      <w:r>
        <w:t xml:space="preserve">Electricity Grid Emission Factor (Europe average assumed for use phase): 0.23 kg CO2e/kWh</w:t>
      </w:r>
    </w:p>
    <w:p>
      <w:pPr>
        <w:numPr>
          <w:ilvl w:val="0"/>
          <w:numId w:val="1012"/>
        </w:numPr>
        <w:pStyle w:val="Compact"/>
      </w:pPr>
      <w:r>
        <w:t xml:space="preserve">Emissions: 100 kWh * 0.23 kg CO2e/kWh = 23.00 kg CO2e</w:t>
      </w:r>
    </w:p>
    <w:p>
      <w:pPr>
        <w:pStyle w:val="FirstParagraph"/>
      </w:pPr>
      <w:r>
        <w:rPr>
          <w:bCs/>
          <w:b/>
        </w:rPr>
        <w:t xml:space="preserve">Subtotal Category 11: 23.00 kg CO2e</w:t>
      </w:r>
    </w:p>
    <w:bookmarkEnd w:id="39"/>
    <w:bookmarkStart w:id="40" w:name="X9f66eef2700632e081dfe139021cb724ffcd2c5"/>
    <w:p>
      <w:pPr>
        <w:pStyle w:val="Heading4"/>
      </w:pPr>
      <w:r>
        <w:t xml:space="preserve">4.3.5 Category 12: End-of-Life Treatment of Sold Products</w:t>
      </w:r>
    </w:p>
    <w:p>
      <w:pPr>
        <w:pStyle w:val="FirstParagraph"/>
      </w:pPr>
      <w:r>
        <w:t xml:space="preserve">Emissions (or avoided emissions) associated with the disposal and recycling of the product at the end of its life.</w:t>
      </w:r>
    </w:p>
    <w:p>
      <w:pPr>
        <w:numPr>
          <w:ilvl w:val="0"/>
          <w:numId w:val="1013"/>
        </w:numPr>
        <w:pStyle w:val="Compact"/>
      </w:pPr>
      <w:r>
        <w:t xml:space="preserve">Product Weight at EoL: 1.15 kg (total material weight)</w:t>
      </w:r>
    </w:p>
    <w:p>
      <w:pPr>
        <w:numPr>
          <w:ilvl w:val="0"/>
          <w:numId w:val="1013"/>
        </w:numPr>
        <w:pStyle w:val="Compact"/>
      </w:pPr>
      <w:r>
        <w:t xml:space="preserve">Recyclability Percentage: jpjmfzrkqj = 70%</w:t>
      </w:r>
    </w:p>
    <w:p>
      <w:pPr>
        <w:numPr>
          <w:ilvl w:val="0"/>
          <w:numId w:val="1013"/>
        </w:numPr>
        <w:pStyle w:val="Compact"/>
      </w:pPr>
      <w:r>
        <w:t xml:space="preserve">Recycled Weight: 1.15 kg * 0.70 = 0.805 kg</w:t>
      </w:r>
    </w:p>
    <w:p>
      <w:pPr>
        <w:numPr>
          <w:ilvl w:val="0"/>
          <w:numId w:val="1013"/>
        </w:numPr>
        <w:pStyle w:val="Compact"/>
      </w:pPr>
      <w:r>
        <w:t xml:space="preserve">Landfilled Weight: 1.15 kg * 0.30 = 0.345 kg</w:t>
      </w:r>
    </w:p>
    <w:p>
      <w:pPr>
        <w:numPr>
          <w:ilvl w:val="0"/>
          <w:numId w:val="1013"/>
        </w:numPr>
        <w:pStyle w:val="Compact"/>
      </w:pPr>
      <w:r>
        <w:t xml:space="preserve">Emissions from Recycling (Credit/Avoided): 0.805 kg * -0.5 kg CO2e/kg = -0.403 kg CO2e (illustrative credit for avoided virgin material production)</w:t>
      </w:r>
    </w:p>
    <w:p>
      <w:pPr>
        <w:numPr>
          <w:ilvl w:val="0"/>
          <w:numId w:val="1013"/>
        </w:numPr>
        <w:pStyle w:val="Compact"/>
      </w:pPr>
      <w:r>
        <w:t xml:space="preserve">Emissions from Landfill: 0.345 kg * 0.5 kg CO2e/kg = 0.173 kg CO2e</w:t>
      </w:r>
    </w:p>
    <w:p>
      <w:pPr>
        <w:numPr>
          <w:ilvl w:val="0"/>
          <w:numId w:val="1013"/>
        </w:numPr>
        <w:pStyle w:val="Compact"/>
      </w:pPr>
      <w:r>
        <w:t xml:space="preserve">Circular/Take-back Programs: jujejpshjh (e.g., Established take-back program - facilitates higher recycling rates)</w:t>
      </w:r>
    </w:p>
    <w:p>
      <w:pPr>
        <w:pStyle w:val="FirstParagraph"/>
      </w:pPr>
      <w:r>
        <w:rPr>
          <w:bCs/>
          <w:b/>
        </w:rPr>
        <w:t xml:space="preserve">Subtotal Category 12: -0.403 kg CO2e + 0.173 kg CO2e = -0.230 kg CO2e</w:t>
      </w:r>
      <w:r>
        <w:t xml:space="preserve"> </w:t>
      </w:r>
      <w:r>
        <w:t xml:space="preserve">(net credit due to high recyclability and circular programs)</w:t>
      </w:r>
    </w:p>
    <w:bookmarkEnd w:id="40"/>
    <w:bookmarkEnd w:id="41"/>
    <w:bookmarkStart w:id="42" w:name="summary-of-emissions-by-scope"/>
    <w:p>
      <w:pPr>
        <w:pStyle w:val="Heading3"/>
      </w:pPr>
      <w:r>
        <w:t xml:space="preserve">4.4 Summary of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12.40</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9.425</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0.276</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0.279</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23.00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-0.230</w:t>
            </w:r>
          </w:p>
        </w:tc>
      </w:tr>
      <w:tr>
        <w:tc>
          <w:tcPr>
            <w:gridSpan w:val="2"/>
          </w:tcPr>
          <w:p>
            <w:pPr>
              <w:pStyle w:val="Compact"/>
              <w:jc w:val="left"/>
            </w:pPr>
            <w:r>
              <w:rPr>
                <w:bCs/>
                <w:b/>
              </w:rPr>
              <w:t xml:space="preserve">Total Product Carbon Footprint</w:t>
            </w:r>
          </w:p>
        </w:tc>
        <w:tc>
          <w:tcPr/>
          <w:p>
            <w:pPr>
              <w:pStyle w:val="Compact"/>
              <w:jc w:val="left"/>
            </w:pPr>
            <w:r>
              <w:rPr>
                <w:bCs/>
                <w:b/>
              </w:rPr>
              <w:t xml:space="preserve">45.15 kg CO2e/unit</w:t>
            </w:r>
          </w:p>
        </w:tc>
      </w:tr>
    </w:tbl>
    <w:bookmarkEnd w:id="42"/>
    <w:bookmarkStart w:id="43" w:name="lsr-update-for-land-sector-and-removals"/>
    <w:p>
      <w:pPr>
        <w:pStyle w:val="Heading3"/>
      </w:pPr>
      <w:r>
        <w:t xml:space="preserve">4.5 2026 LSR Update for Land Sector and Removals</w:t>
      </w:r>
    </w:p>
    <w:p>
      <w:pPr>
        <w:pStyle w:val="FirstParagraph"/>
      </w:pPr>
      <w:r>
        <w:t xml:space="preserve">The Land Sector and Removals (LSR) Standard is applied by explicitly considering the potential for carbon removals through circular economy initiatives. The \'End-of-Life\' calculation reflects a net credit (-0.230 kg CO2e) due to the high recyclability (jpjmfzrkqj = 70%) and the presence of circular/take-back programs (jujejpshjh). This credit represents avoided emissions from virgin material production, aligning with the principles of the LSR standard to account for removals and sequestration where quantifiable within the product\'s value chain. For shxyhmujvs, direct land-use change emissions associated with raw material extraction are embedded in the emission factors of materials like cardboard and metals, but no direct primary land-use change specifically attributed to the product\'s lifecycle beyond that is identified and quantified without further detailed data.</w:t>
      </w:r>
    </w:p>
    <w:bookmarkEnd w:id="43"/>
    <w:bookmarkStart w:id="44" w:name="scope-3-compliance-95-coverage"/>
    <w:p>
      <w:pPr>
        <w:pStyle w:val="Heading3"/>
      </w:pPr>
      <w:r>
        <w:t xml:space="preserve">4.6 Scope 3 Compliance (95% Coverage)</w:t>
      </w:r>
    </w:p>
    <w:p>
      <w:pPr>
        <w:pStyle w:val="FirstParagraph"/>
      </w:pPr>
      <w:r>
        <w:t xml:space="preserve">The detailed breakdown of Scope 3 categories (Purchased Goods and Services, Upstream and Downstream Transportation, Use of Sold Products, and End-of-Life Treatment) covers the major sources of value chain emissions. These categories collectively represent a substantial portion of the product\'s overall footprint, demonstrating a commitment to achieving at least 95% coverage for Scope 3 reporting as per 2026 requirements. Remaining minor categories are considered negligible for this high-level analysis.</w:t>
      </w:r>
    </w:p>
    <w:p>
      <w:r>
        <w:pict>
          <v:rect style="width:0;height:1.5pt" o:hralign="center" o:hrstd="t" o:hr="t"/>
        </w:pict>
      </w:r>
    </w:p>
    <w:bookmarkEnd w:id="44"/>
    <w:bookmarkEnd w:id="45"/>
    <w:bookmarkStart w:id="50" w:name="review-report"/>
    <w:p>
      <w:pPr>
        <w:pStyle w:val="Heading2"/>
      </w:pPr>
      <w:r>
        <w:t xml:space="preserve">5. Review &amp; Report</w:t>
      </w:r>
    </w:p>
    <w:bookmarkStart w:id="46" w:name="key-findings-and-hotspots"/>
    <w:p>
      <w:pPr>
        <w:pStyle w:val="Heading3"/>
      </w:pPr>
      <w:r>
        <w:t xml:space="preserve">5.1 Key Findings and Hotspots</w:t>
      </w:r>
    </w:p>
    <w:p>
      <w:pPr>
        <w:pStyle w:val="FirstParagraph"/>
      </w:pPr>
      <w:r>
        <w:t xml:space="preserve">The Product Carbon Footprint for one unit of shxyhmujvs is approximately</w:t>
      </w:r>
      <w:r>
        <w:t xml:space="preserve"> </w:t>
      </w:r>
      <w:r>
        <w:rPr>
          <w:bCs/>
          <w:b/>
        </w:rPr>
        <w:t xml:space="preserve">45.15 kg CO2e</w:t>
      </w:r>
      <w:r>
        <w:t xml:space="preserve">. The main hotspots in the product\'s lifecycle are:</w:t>
      </w:r>
    </w:p>
    <w:p>
      <w:pPr>
        <w:numPr>
          <w:ilvl w:val="0"/>
          <w:numId w:val="1014"/>
        </w:numPr>
        <w:pStyle w:val="Compact"/>
      </w:pPr>
      <w:r>
        <w:rPr>
          <w:bCs/>
          <w:b/>
        </w:rPr>
        <w:t xml:space="preserve">Use Phase (Category 11):</w:t>
      </w:r>
      <w:r>
        <w:t xml:space="preserve"> </w:t>
      </w:r>
      <w:r>
        <w:t xml:space="preserve">At 23.00 kg CO2e, this phase contributes significantly, primarily due to the energy consumption of the product over its 5-year lifespan.</w:t>
      </w:r>
    </w:p>
    <w:p>
      <w:pPr>
        <w:numPr>
          <w:ilvl w:val="0"/>
          <w:numId w:val="1014"/>
        </w:numPr>
        <w:pStyle w:val="Compact"/>
      </w:pPr>
      <w:r>
        <w:rPr>
          <w:bCs/>
          <w:b/>
        </w:rPr>
        <w:t xml:space="preserve">Production Phase (Scope 2 - Purchased Electricity):</w:t>
      </w:r>
      <w:r>
        <w:t xml:space="preserve"> </w:t>
      </w:r>
      <w:r>
        <w:t xml:space="preserve">Contributing 12.40 kg CO2e, the electricity used in manufacturing, particularly the non-renewable portion of the Chinese grid mix, is a major factor.</w:t>
      </w:r>
    </w:p>
    <w:p>
      <w:pPr>
        <w:numPr>
          <w:ilvl w:val="0"/>
          <w:numId w:val="1014"/>
        </w:numPr>
        <w:pStyle w:val="Compact"/>
      </w:pPr>
      <w:r>
        <w:rPr>
          <w:bCs/>
          <w:b/>
        </w:rPr>
        <w:t xml:space="preserve">Material Acquisition (Scope 3, Category 1):</w:t>
      </w:r>
      <w:r>
        <w:t xml:space="preserve"> </w:t>
      </w:r>
      <w:r>
        <w:t xml:space="preserve">The production of raw materials, especially Aluminium Casing (7.385 kg CO2e), contributes a substantial portion to the overall footprint.</w:t>
      </w:r>
    </w:p>
    <w:bookmarkEnd w:id="46"/>
    <w:bookmarkStart w:id="47" w:name="data-reliability-and-assumptions"/>
    <w:p>
      <w:pPr>
        <w:pStyle w:val="Heading3"/>
      </w:pPr>
      <w:r>
        <w:t xml:space="preserve">5.2 Data Reliability and Assumptions</w:t>
      </w:r>
    </w:p>
    <w:p>
      <w:pPr>
        <w:pStyle w:val="FirstParagraph"/>
      </w:pPr>
      <w:r>
        <w:t xml:space="preserve">The calculations in this report are based on a combination of specific parameter values provided by ejlfidoeze and illustrative industry-average emission factors from reputable sources like DEFRA, Ecoinvent (general industry factors implied by search results), and published research. Key assumptions include:</w:t>
      </w:r>
    </w:p>
    <w:p>
      <w:pPr>
        <w:numPr>
          <w:ilvl w:val="0"/>
          <w:numId w:val="1015"/>
        </w:numPr>
        <w:pStyle w:val="Compact"/>
      </w:pPr>
      <w:r>
        <w:t xml:space="preserve">The provided "wsyjtvhy" BOM string was interpreted as a placeholder for structured data, leading to the creation of illustrative material quantities and types. A real-world analysis would require precise, primary BOM data.</w:t>
      </w:r>
    </w:p>
    <w:p>
      <w:pPr>
        <w:numPr>
          <w:ilvl w:val="0"/>
          <w:numId w:val="1015"/>
        </w:numPr>
        <w:pStyle w:val="Compact"/>
      </w:pPr>
      <w:r>
        <w:t xml:space="preserve">Emission factors for materials and transport modes are derived from publicly available data (e.g., Climatiq, Consumer Ecology, MEE China) and are considered industry-standard for screening purposes but may not be specific to ejlfidoeze\'s direct suppliers.</w:t>
      </w:r>
    </w:p>
    <w:p>
      <w:pPr>
        <w:numPr>
          <w:ilvl w:val="0"/>
          <w:numId w:val="1015"/>
        </w:numPr>
        <w:pStyle w:val="Compact"/>
      </w:pPr>
      <w:r>
        <w:t xml:space="preserve">Transport distances and last-mile delivery emissions are illustrative based on the specified geographic scope and mode, requiring actual logistics data for higher accuracy.</w:t>
      </w:r>
    </w:p>
    <w:p>
      <w:pPr>
        <w:numPr>
          <w:ilvl w:val="0"/>
          <w:numId w:val="1015"/>
        </w:numPr>
        <w:pStyle w:val="Compact"/>
      </w:pPr>
      <w:r>
        <w:t xml:space="preserve">The \'Emission Factor (Estimated)\' for PCB and Last-Mile Delivery are illustrative assumptions made in the absence of precise, directly applicable public data in the search results.</w:t>
      </w:r>
    </w:p>
    <w:p>
      <w:pPr>
        <w:numPr>
          <w:ilvl w:val="0"/>
          <w:numId w:val="1015"/>
        </w:numPr>
        <w:pStyle w:val="Compact"/>
      </w:pPr>
      <w:r>
        <w:t xml:space="preserve">The avoided emissions credit for recycling at End-of-Life is an illustrative figure based on general principles of material circularity.</w:t>
      </w:r>
    </w:p>
    <w:bookmarkEnd w:id="47"/>
    <w:bookmarkStart w:id="48" w:name="recommendations-for-emission-reduction"/>
    <w:p>
      <w:pPr>
        <w:pStyle w:val="Heading3"/>
      </w:pPr>
      <w:r>
        <w:t xml:space="preserve">5.3 Recommendations for Emission Reduction</w:t>
      </w:r>
    </w:p>
    <w:p>
      <w:pPr>
        <w:pStyle w:val="FirstParagraph"/>
      </w:pPr>
      <w:r>
        <w:t xml:space="preserve">Based on this PCF analysis, ejlfidoeze should consider the following strategies to reduce the carbon footprint of shxyhmujvs:</w:t>
      </w:r>
    </w:p>
    <w:p>
      <w:pPr>
        <w:numPr>
          <w:ilvl w:val="0"/>
          <w:numId w:val="1016"/>
        </w:numPr>
        <w:pStyle w:val="Compact"/>
      </w:pPr>
      <w:r>
        <w:rPr>
          <w:bCs/>
          <w:b/>
        </w:rPr>
        <w:t xml:space="preserve">Optimize Use Phase Energy Efficiency:</w:t>
      </w:r>
      <w:r>
        <w:t xml:space="preserve"> </w:t>
      </w:r>
      <w:r>
        <w:t xml:space="preserve">Invest in R&amp;D to significantly reduce the product\'s energy consumption during its lifespan (ugnhjmdkol). Educate end-users on energy-efficient usage.</w:t>
      </w:r>
    </w:p>
    <w:p>
      <w:pPr>
        <w:numPr>
          <w:ilvl w:val="0"/>
          <w:numId w:val="1016"/>
        </w:numPr>
        <w:pStyle w:val="Compact"/>
      </w:pPr>
      <w:r>
        <w:rPr>
          <w:bCs/>
          <w:b/>
        </w:rPr>
        <w:t xml:space="preserve">Increase Renewable Energy Sourcing for Production:</w:t>
      </w:r>
      <w:r>
        <w:t xml:space="preserve"> </w:t>
      </w:r>
      <w:r>
        <w:t xml:space="preserve">While 60% renewable energy usage (gsepdsiepe) is commendable, increasing this percentage at the China production facility would directly reduce Scope 2 emissions. This could involve direct renewable energy procurement or purchasing high-quality renewable energy certificates.</w:t>
      </w:r>
    </w:p>
    <w:p>
      <w:pPr>
        <w:numPr>
          <w:ilvl w:val="0"/>
          <w:numId w:val="1016"/>
        </w:numPr>
        <w:pStyle w:val="Compact"/>
      </w:pPr>
      <w:r>
        <w:rPr>
          <w:bCs/>
          <w:b/>
        </w:rPr>
        <w:t xml:space="preserve">Material Optimization:</w:t>
      </w:r>
    </w:p>
    <w:p>
      <w:pPr>
        <w:numPr>
          <w:ilvl w:val="1"/>
          <w:numId w:val="1017"/>
        </w:numPr>
        <w:pStyle w:val="Compact"/>
      </w:pPr>
      <w:r>
        <w:t xml:space="preserve">Explore opportunities to use recycled content for high-impact materials like aluminium and plastics, where possible. Using recycled aluminium, for instance, requires significantly less energy than primary production.</w:t>
      </w:r>
    </w:p>
    <w:p>
      <w:pPr>
        <w:numPr>
          <w:ilvl w:val="1"/>
          <w:numId w:val="1017"/>
        </w:numPr>
        <w:pStyle w:val="Compact"/>
      </w:pPr>
      <w:r>
        <w:t xml:space="preserve">Investigate lighter alternative materials or design optimizations to reduce overall material quantity without compromising product functionality.</w:t>
      </w:r>
    </w:p>
    <w:p>
      <w:pPr>
        <w:numPr>
          <w:ilvl w:val="0"/>
          <w:numId w:val="1016"/>
        </w:numPr>
        <w:pStyle w:val="Compact"/>
      </w:pPr>
      <w:r>
        <w:rPr>
          <w:bCs/>
          <w:b/>
        </w:rPr>
        <w:t xml:space="preserve">Supply Chain Engagement:</w:t>
      </w:r>
      <w:r>
        <w:t xml:space="preserve"> </w:t>
      </w:r>
      <w:r>
        <w:t xml:space="preserve">Collaborate with suppliers of high-carbon components (e.g., aluminium, plastics) to understand and reduce their upstream emissions.</w:t>
      </w:r>
    </w:p>
    <w:p>
      <w:pPr>
        <w:numPr>
          <w:ilvl w:val="0"/>
          <w:numId w:val="1016"/>
        </w:numPr>
        <w:pStyle w:val="Compact"/>
      </w:pPr>
      <w:r>
        <w:rPr>
          <w:bCs/>
          <w:b/>
        </w:rPr>
        <w:t xml:space="preserve">Enhance Circularity:</w:t>
      </w:r>
      <w:r>
        <w:t xml:space="preserve"> </w:t>
      </w:r>
      <w:r>
        <w:t xml:space="preserve">Further develop and promote the existing circular/take-back programs (jujejpshjh) to increase the effective recycling rate (jpjmfzrkqj) beyond 70% and explore opportunities for product refurbishment or remanufacturing.</w:t>
      </w:r>
    </w:p>
    <w:p>
      <w:r>
        <w:pict>
          <v:rect style="width:0;height:1.5pt" o:hralign="center" o:hrstd="t" o:hr="t"/>
        </w:pict>
      </w:r>
    </w:p>
    <w:p>
      <w:pPr>
        <w:pStyle w:val="FirstParagraph"/>
      </w:pPr>
      <w:r>
        <w:t xml:space="preserve">Confidential - Internal Use Only</w:t>
      </w:r>
    </w:p>
    <w:bookmarkEnd w:id="48"/>
    <w:bookmarkStart w:id="49" w:name="references"/>
    <w:p>
      <w:pPr>
        <w:pStyle w:val="Heading3"/>
      </w:pPr>
      <w:r>
        <w:t xml:space="preserve">References</w:t>
      </w:r>
    </w:p>
    <w:p>
      <w:pPr>
        <w:pStyle w:val="FirstParagraph"/>
      </w:pPr>
      <w:r>
        <w:t xml:space="preserve">OpenCO2.net. (2025). Aluminium, primary production, Global. Retrieved from Carbon Footprint Platform.</w:t>
      </w:r>
    </w:p>
    <w:p>
      <w:pPr>
        <w:pStyle w:val="BodyText"/>
      </w:pPr>
      <w:r>
        <w:t xml:space="preserve">bage plastics. (2022, January 21). Sustainable, recycled granules by bage plastics with excellent carbon footprint.</w:t>
      </w:r>
    </w:p>
    <w:p>
      <w:pPr>
        <w:pStyle w:val="BodyText"/>
      </w:pPr>
      <w:r>
        <w:t xml:space="preserve">LAPP. (2023, January 13). Copper as the key to greater sustainability.</w:t>
      </w:r>
    </w:p>
    <w:p>
      <w:pPr>
        <w:pStyle w:val="BodyText"/>
      </w:pPr>
      <w:r>
        <w:t xml:space="preserve">[Assumption] Placeholder for PCB Emission Factor: Assumed value due to lack of directly applicable public kg CO2e/unit data.</w:t>
      </w:r>
    </w:p>
    <w:p>
      <w:pPr>
        <w:pStyle w:val="BodyText"/>
      </w:pPr>
      <w:r>
        <w:t xml:space="preserve">Consumer Ecology. Carbon Footprint of a Cardboard Box.</w:t>
      </w:r>
    </w:p>
    <w:p>
      <w:pPr>
        <w:pStyle w:val="BodyText"/>
      </w:pPr>
      <w:r>
        <w:t xml:space="preserve">Group O. (2021, November 19). Carbon Footprint of Different Packaging Materials.</w:t>
      </w:r>
    </w:p>
    <w:p>
      <w:pPr>
        <w:pStyle w:val="BodyText"/>
      </w:pPr>
      <w:r>
        <w:t xml:space="preserve">CarbonCloud. Paperboard/cardboard, no direct contact with food · 0.71 kg CO₂e/kg.</w:t>
      </w:r>
    </w:p>
    <w:p>
      <w:pPr>
        <w:pStyle w:val="BodyText"/>
      </w:pPr>
      <w:r>
        <w:t xml:space="preserve">UNECE Wiki. China\'s Electricity Carbon Footprint Factors and China Automotive Life Cycle Database (CALCD).</w:t>
      </w:r>
    </w:p>
    <w:p>
      <w:pPr>
        <w:pStyle w:val="BodyText"/>
      </w:pPr>
      <w:r>
        <w:t xml:space="preserve">Climatiq. Emission Factor: Container ship (average) | Transport | Sea Freight.</w:t>
      </w:r>
    </w:p>
    <w:p>
      <w:pPr>
        <w:pStyle w:val="BodyText"/>
      </w:pPr>
      <w:r>
        <w:t xml:space="preserve">Climatiq. Emission Factor: Road freight - Dray - TTW | Transport.</w:t>
      </w:r>
    </w:p>
    <w:p>
      <w:pPr>
        <w:pStyle w:val="BodyText"/>
      </w:pPr>
      <w:r>
        <w:t xml:space="preserve">Arbor.eco. (2025, January 16). Understanding Emission Factors: Key to Measuring GHG Emissions.</w:t>
      </w:r>
    </w:p>
    <w:p>
      <w:pPr>
        <w:pStyle w:val="BodyText"/>
      </w:pPr>
      <w:r>
        <w:t xml:space="preserve">How To Calculate The Carbon Footprint Of One Corrugated Box? (2026, April 27).</w:t>
      </w:r>
    </w:p>
    <w:p>
      <w:pPr>
        <w:pStyle w:val="BodyText"/>
      </w:pPr>
      <w:r>
        <w:t xml:space="preserve">Unibloom Switch. acrylonitrile-butadiene-styrene copolymer, abs emissions factor in Europe.</w:t>
      </w:r>
    </w:p>
    <w:p>
      <w:pPr>
        <w:pStyle w:val="BodyText"/>
      </w:pPr>
      <w:r>
        <w:t xml:space="preserve">Climatiq. Emission Factor: Acrylonitrile butadiene styrene (ABS) | Materials and Manufacturing | Plastics and Rubber Products | Europe.</w:t>
      </w:r>
    </w:p>
    <w:p>
      <w:pPr>
        <w:pStyle w:val="BodyText"/>
      </w:pPr>
      <w:r>
        <w:t xml:space="preserve">Climatiq. Emission Factor: Copper mining | Materials and Manufacturing.</w:t>
      </w:r>
    </w:p>
    <w:p>
      <w:pPr>
        <w:pStyle w:val="BodyText"/>
      </w:pPr>
      <w:r>
        <w:t xml:space="preserve">Climatiq. Emission Factor: Copper | Materials and Manufacturing | Metals | Germany.</w:t>
      </w:r>
    </w:p>
    <w:p>
      <w:pPr>
        <w:pStyle w:val="BodyText"/>
      </w:pPr>
      <w:r>
        <w:t xml:space="preserve">IStructE. (2024, August 14). Embodied Carbon Aluminium.</w:t>
      </w:r>
    </w:p>
    <w:p>
      <w:pPr>
        <w:pStyle w:val="BodyText"/>
      </w:pPr>
      <w:r>
        <w:t xml:space="preserve">CarbonCloud. Aluminum ingot, virgin. Europe · 5.63 kg CO₂e/kg.</w:t>
      </w:r>
    </w:p>
    <w:p>
      <w:pPr>
        <w:pStyle w:val="BodyText"/>
      </w:pPr>
      <w:r>
        <w:t xml:space="preserve">Consumer Ecology. China Electricity Carbon Footprint &amp; Environmental Impact.</w:t>
      </w:r>
    </w:p>
    <w:p>
      <w:pPr>
        <w:pStyle w:val="BodyText"/>
      </w:pPr>
      <w:r>
        <w:t xml:space="preserve">ClimeCo. Emission Calculation Methods.</w:t>
      </w:r>
    </w:p>
    <w:p>
      <w:pPr>
        <w:pStyle w:val="BodyText"/>
      </w:pPr>
      <w:r>
        <w:t xml:space="preserve">Air-Sea Freight CO2 Emissions Calculator: Comparing Carbon Footprints. (2026, April 23).</w:t>
      </w:r>
    </w:p>
    <w:p>
      <w:pPr>
        <w:pStyle w:val="BodyText"/>
      </w:pPr>
      <w:r>
        <w:t xml:space="preserve">Trax Technologies. (2025, October 08). Freight Carbon Footprint Calculation Methods.</w:t>
      </w:r>
    </w:p>
    <w:p>
      <w:pPr>
        <w:pStyle w:val="BodyText"/>
      </w:pPr>
      <w:r>
        <w:t xml:space="preserve">Seafood Carbon Emissions Tool. Transport Calculator.</w:t>
      </w:r>
    </w:p>
    <w:p>
      <w:pPr>
        <w:pStyle w:val="BodyText"/>
      </w:pPr>
      <w:r>
        <w:t xml:space="preserve">Climatiq. Emission Factor: Bare printed circuit board manufacturing | Equipment | Electronics | United States of America (the).</w:t>
      </w:r>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shxyhmujvs</dc:title>
  <dc:creator/>
  <dc:description>Detailed Product Carbon Footprint (PCF) analysis for shxyhmujvs, adhering to GHG Protocol standards and 2026 LSR updates, prepared by nygkhumzwl, Senior Sustainability Consultant.</dc:description>
  <dc:language>en</dc:language>
  <cp:keywords/>
  <dcterms:created xsi:type="dcterms:W3CDTF">2026-07-15T05:29:47Z</dcterms:created>
  <dcterms:modified xsi:type="dcterms:W3CDTF">2026-07-15T05:29:47Z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