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shqfuegrpx</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shqfuegrpx"/>
    <w:p>
      <w:pPr>
        <w:pStyle w:val="Heading2"/>
      </w:pPr>
      <w:r>
        <w:t xml:space="preserve">for shqfuegrpx</w:t>
      </w:r>
    </w:p>
    <w:p>
      <w:pPr>
        <w:pStyle w:val="FirstParagraph"/>
      </w:pPr>
      <w:r>
        <w:rPr>
          <w:bCs/>
          <w:b/>
        </w:rPr>
        <w:t xml:space="preserve">Company Name:</w:t>
      </w:r>
      <w:r>
        <w:t xml:space="preserve"> </w:t>
      </w:r>
      <w:r>
        <w:t xml:space="preserve">vlfjipwuvm</w:t>
      </w:r>
    </w:p>
    <w:p>
      <w:pPr>
        <w:pStyle w:val="BodyText"/>
      </w:pPr>
      <w:r>
        <w:rPr>
          <w:bCs/>
          <w:b/>
        </w:rPr>
        <w:t xml:space="preserve">Senior Sustainability Consultant:</w:t>
      </w:r>
      <w:r>
        <w:t xml:space="preserve"> </w:t>
      </w:r>
      <w:r>
        <w:t xml:space="preserve">vfkmoovlxx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and adherence to methodological guidelines, the precision of results is dependent on the quality and completeness of the input data.</w:t>
      </w:r>
    </w:p>
    <w:bookmarkEnd w:id="20"/>
    <w:bookmarkEnd w:id="21"/>
    <w:bookmarkStart w:id="22" w:name="X975fb194f200400f2c24e1b554624cae831bf12"/>
    <w:p>
      <w:pPr>
        <w:pStyle w:val="Heading1"/>
      </w:pPr>
      <w:r>
        <w:t xml:space="preserve">Product Carbon Footprint Report: shqfuegrpx</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vfkmoovlxx</w:t>
      </w:r>
    </w:p>
    <w:p>
      <w:pPr>
        <w:pStyle w:val="BodyText"/>
      </w:pPr>
      <w:r>
        <w:rPr>
          <w:bCs/>
          <w:b/>
        </w:rPr>
        <w:t xml:space="preserve">Company Name:</w:t>
      </w:r>
      <w:r>
        <w:t xml:space="preserve"> </w:t>
      </w:r>
      <w:r>
        <w:t xml:space="preserve">vlfjipwuvm</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shqfuegrpx manufactured by vlfjipwuvm. Conducted by vfkmoovlxx, a Senior Sustainability Consultant specializing in GHG Protocol, this analysis quantifies the greenhouse gas (GHG) emissions associated with the product\'s entire lifecycle, from material extraction to end-of-life. The methodology strictly adheres to the GHG Protocol, including the application of the 2026 Land Sector and Removals (LSR) Standard and ensuring comprehensive Scope 3 coverage. The aim is to identify major emission hotspots and provide a robust baseline for strategic emission reduction efforts.</w:t>
      </w:r>
    </w:p>
    <w:p>
      <w:r>
        <w:pict>
          <v:rect style="width:0;height:1.5pt" o:hralign="center" o:hrstd="t" o:hr="t"/>
        </w:pict>
      </w:r>
    </w:p>
    <w:bookmarkEnd w:id="23"/>
    <w:bookmarkStart w:id="31" w:name="scope-definition"/>
    <w:p>
      <w:pPr>
        <w:pStyle w:val="Heading2"/>
      </w:pPr>
      <w:r>
        <w:t xml:space="preserve">1. Scope Definition</w:t>
      </w:r>
    </w:p>
    <w:bookmarkStart w:id="24"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 shqfuegrpx. This unit serves as the reference basis for quantifying all inputs and outputs throughout the product\'s lifecycle.</w:t>
      </w:r>
    </w:p>
    <w:bookmarkEnd w:id="24"/>
    <w:bookmarkStart w:id="25" w:name="system-boundary"/>
    <w:p>
      <w:pPr>
        <w:pStyle w:val="Heading3"/>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This "cradle-to-gate" approach encompasses all GHG emissions from the extraction of raw materials up to the point where the finished product leaves the manufacturing facility. It includes emissions associated with raw material acquisition, transport to the factory, manufacturing processes, and energy consumed during production. While the primary focus is cradle-to-gate, relevant downstream impacts (transport, use phase, end-of-life) are also included to provide a holistic view as per the GHG Protocol\'s Scope 3 requirements.</w:t>
      </w:r>
    </w:p>
    <w:bookmarkEnd w:id="25"/>
    <w:bookmarkStart w:id="26" w:name="geographic-scope"/>
    <w:p>
      <w:pPr>
        <w:pStyle w:val="Heading3"/>
      </w:pPr>
      <w:r>
        <w:t xml:space="preserve">1.3 Geographic Scope</w:t>
      </w:r>
    </w:p>
    <w:p>
      <w:pPr>
        <w:pStyle w:val="FirstParagraph"/>
      </w:pPr>
      <w:r>
        <w:t xml:space="preserve">The geographic scope of this PCF analysis is characterized by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acknowledges that while final assembly or production occurs in China, significant upstream supply chain activities and material sourcing are primarily concentrated in Europe, influencing the selection of regional emission factors.</w:t>
      </w:r>
    </w:p>
    <w:bookmarkEnd w:id="26"/>
    <w:bookmarkStart w:id="27" w:name="allocation"/>
    <w:p>
      <w:pPr>
        <w:pStyle w:val="Heading3"/>
      </w:pPr>
      <w:r>
        <w:t xml:space="preserve">1.4 Allocation</w:t>
      </w:r>
    </w:p>
    <w:p>
      <w:pPr>
        <w:pStyle w:val="FirstParagraph"/>
      </w:pPr>
      <w:r>
        <w:t xml:space="preserve">Allocation of environmental burdens for co-products or multi-functional processes is performed based on commonly accepted methodologies, typically mass or economic allocation, to ensure that the environmental impact is fairly distributed among the products sharing the same process. Specific allocation rules would be detailed for any identified co-products within the manufacturing of shqfuegrpx.</w:t>
      </w:r>
    </w:p>
    <w:bookmarkEnd w:id="27"/>
    <w:bookmarkStart w:id="28"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 Product Life Cycle Accounting and Reporting Standard</w:t>
      </w:r>
      <w:r>
        <w:t xml:space="preserve">. This standard provides a robust and internationally recognized framework for quantifying and reporting product-level GHG emissions. Emissions are categorized into Scope 1 (direct emissions), Scope 2 (indirect emissions from purchased energy), and Scope 3 (all other indirect emissions in the value chain).</w:t>
      </w:r>
    </w:p>
    <w:bookmarkEnd w:id="28"/>
    <w:bookmarkStart w:id="29" w:name="X504f4a86e01fdcfa46a4589bb1b5e0cfaad8629"/>
    <w:p>
      <w:pPr>
        <w:pStyle w:val="Heading3"/>
      </w:pPr>
      <w:r>
        <w:t xml:space="preserve">1.6 2026 Land Sector and Removals (LSR) Standard Update</w:t>
      </w:r>
    </w:p>
    <w:p>
      <w:pPr>
        <w:pStyle w:val="FirstParagraph"/>
      </w:pPr>
      <w:r>
        <w:t xml:space="preserve">In adherence to the latest GHG Protocol guidelines, the Land Sector and Removals (LSR) Standard, released on January 30, 2026, is applied in this analysis. While the LSR Standard officially takes effect on January 1, 2027, its principles are incorporated to account for emissions and removals from significant land sector activities and CO2 removals within the product\'s value chain, if applicable. This includes guidance for quantifying, reporting, and tracking land emissions and CO₂ removals, aligning with the 2026 reporting requirements.</w:t>
      </w:r>
    </w:p>
    <w:bookmarkEnd w:id="29"/>
    <w:bookmarkStart w:id="30" w:name="scope-3-compliance"/>
    <w:p>
      <w:pPr>
        <w:pStyle w:val="Heading3"/>
      </w:pPr>
      <w:r>
        <w:t xml:space="preserve">1.7 Scope 3 Compliance</w:t>
      </w:r>
    </w:p>
    <w:p>
      <w:pPr>
        <w:pStyle w:val="FirstParagraph"/>
      </w:pPr>
      <w:r>
        <w:t xml:space="preserve">As per 2026 requirements, this report ensures at least</w:t>
      </w:r>
      <w:r>
        <w:t xml:space="preserve"> </w:t>
      </w:r>
      <w:r>
        <w:rPr>
          <w:bCs/>
          <w:b/>
        </w:rPr>
        <w:t xml:space="preserve">95% coverage for Scope 3 reporting</w:t>
      </w:r>
      <w:r>
        <w:t xml:space="preserve">. This comprehensive approach mandates the inclusion of all relevant upstream and downstream value chain emissions, providing a holistic and accurate representation of the product\'s environmental impact beyond direct operational control.</w:t>
      </w:r>
    </w:p>
    <w:p>
      <w:r>
        <w:pict>
          <v:rect style="width:0;height:1.5pt" o:hralign="center" o:hrstd="t" o:hr="t"/>
        </w:pict>
      </w:r>
    </w:p>
    <w:bookmarkEnd w:id="30"/>
    <w:bookmarkEnd w:id="31"/>
    <w:bookmarkStart w:id="37" w:name="X07cf0ea829f60a4f8fa47c00f72a11793fbe483"/>
    <w:p>
      <w:pPr>
        <w:pStyle w:val="Heading2"/>
      </w:pPr>
      <w:r>
        <w:t xml:space="preserve">2. Lifecycle Mapping (LCI Inventory Stages) &amp; 3. Data Collection</w:t>
      </w:r>
    </w:p>
    <w:p>
      <w:pPr>
        <w:pStyle w:val="FirstParagraph"/>
      </w:pPr>
      <w:r>
        <w:t xml:space="preserve">The lifecycle of shqfuegrpx is mapped across key stages: Material Acquisition, Production, Transport, Use Phase, and End-of-Life. Data is collected from primary sources where available and supplemented with high-quality secondary data from industry-standard databases such as Ecoinvent and DEFRA.</w:t>
      </w:r>
    </w:p>
    <w:bookmarkStart w:id="32" w:name="Xd4d56b9fa8f59dee7e1133e2ec4b7da3220fba5"/>
    <w:p>
      <w:pPr>
        <w:pStyle w:val="Heading3"/>
      </w:pPr>
      <w:r>
        <w:t xml:space="preserve">2.1 Material Acquisition &amp; Inputs (Scope 3 Upstream)</w:t>
      </w:r>
    </w:p>
    <w:p>
      <w:pPr>
        <w:pStyle w:val="FirstParagraph"/>
      </w:pPr>
      <w:r>
        <w:t xml:space="preserve">The detailed Bill of Materials (BOM) for shqfuegrpx is a critical input for high-accuracy material impact calculation. The BOM provided is:</w:t>
      </w:r>
      <w:r>
        <w:t xml:space="preserve"> </w:t>
      </w:r>
      <w:r>
        <w:rPr>
          <w:bCs/>
          <w:b/>
        </w:rPr>
        <w:t xml:space="preserve">neptjrpd</w:t>
      </w:r>
      <w:r>
        <w:t xml:space="preserve">.</w:t>
      </w:r>
    </w:p>
    <w:p>
      <w:pPr>
        <w:pStyle w:val="BodyText"/>
      </w:pPr>
      <w:r>
        <w:t xml:space="preserve">For a precise material impact calculation, a detailed breakdown of this BOM into individual components with specific quantities, material types (e.g., metals, plastics, silicon), and associated processes is essential. While the provided BOM `neptjrpd` is a string, for illustrative purposes of a high-detail analysis, a structured BOM would appear as follows, with emission factors sourced from databases like Ecoinvent to capture upstream impacts (material extraction,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(e.g., M001)</w:t>
            </w:r>
          </w:p>
        </w:tc>
        <w:tc>
          <w:tcPr/>
          <w:p>
            <w:pPr>
              <w:pStyle w:val="Compact"/>
              <w:jc w:val="left"/>
            </w:pPr>
            <w:r>
              <w:t xml:space="preserve">(e.g., Aluminum Alloy)</w:t>
            </w:r>
          </w:p>
        </w:tc>
        <w:tc>
          <w:tcPr/>
          <w:p>
            <w:pPr>
              <w:pStyle w:val="Compact"/>
              <w:jc w:val="left"/>
            </w:pPr>
            <w:r>
              <w:t xml:space="preserve">Metal</w:t>
            </w:r>
          </w:p>
        </w:tc>
        <w:tc>
          <w:tcPr/>
          <w:p>
            <w:pPr>
              <w:pStyle w:val="Compact"/>
              <w:jc w:val="left"/>
            </w:pPr>
            <w:r>
              <w:t xml:space="preserve">(e.g., Primary production)</w:t>
            </w:r>
          </w:p>
        </w:tc>
        <w:tc>
          <w:tcPr/>
          <w:p>
            <w:pPr>
              <w:pStyle w:val="Compact"/>
              <w:jc w:val="left"/>
            </w:pPr>
            <w:r>
              <w:t xml:space="preserve">(e.g., 2.5)</w:t>
            </w:r>
          </w:p>
        </w:tc>
        <w:tc>
          <w:tcPr/>
          <w:p>
            <w:pPr>
              <w:pStyle w:val="Compact"/>
              <w:jc w:val="left"/>
            </w:pPr>
            <w:r>
              <w:t xml:space="preserve">(e.g., kg)</w:t>
            </w:r>
          </w:p>
        </w:tc>
        <w:tc>
          <w:tcPr/>
          <w:p>
            <w:pPr>
              <w:pStyle w:val="Compact"/>
              <w:jc w:val="left"/>
            </w:pPr>
            <w:r>
              <w:t xml:space="preserve">(e.g., 8.0)</w:t>
            </w:r>
          </w:p>
        </w:tc>
        <w:tc>
          <w:tcPr/>
          <w:p>
            <w:pPr>
              <w:pStyle w:val="Compact"/>
              <w:jc w:val="left"/>
            </w:pPr>
            <w:r>
              <w:t xml:space="preserve">(e.g., 20.0)</w:t>
            </w:r>
          </w:p>
        </w:tc>
      </w:tr>
      <w:tr>
        <w:tc>
          <w:tcPr/>
          <w:p>
            <w:pPr>
              <w:pStyle w:val="Compact"/>
              <w:jc w:val="left"/>
            </w:pPr>
            <w:r>
              <w:t xml:space="preserve">(e.g., P002)</w:t>
            </w:r>
          </w:p>
        </w:tc>
        <w:tc>
          <w:tcPr/>
          <w:p>
            <w:pPr>
              <w:pStyle w:val="Compact"/>
              <w:jc w:val="left"/>
            </w:pPr>
            <w:r>
              <w:t xml:space="preserve">(e.g., ABS Plastic)</w:t>
            </w:r>
          </w:p>
        </w:tc>
        <w:tc>
          <w:tcPr/>
          <w:p>
            <w:pPr>
              <w:pStyle w:val="Compact"/>
              <w:jc w:val="left"/>
            </w:pPr>
            <w:r>
              <w:t xml:space="preserve">Plastic</w:t>
            </w:r>
          </w:p>
        </w:tc>
        <w:tc>
          <w:tcPr/>
          <w:p>
            <w:pPr>
              <w:pStyle w:val="Compact"/>
              <w:jc w:val="left"/>
            </w:pPr>
            <w:r>
              <w:t xml:space="preserve">(e.g., Polymerization)</w:t>
            </w:r>
          </w:p>
        </w:tc>
        <w:tc>
          <w:tcPr/>
          <w:p>
            <w:pPr>
              <w:pStyle w:val="Compact"/>
              <w:jc w:val="left"/>
            </w:pPr>
            <w:r>
              <w:t xml:space="preserve">(e.g., 1.2)</w:t>
            </w:r>
          </w:p>
        </w:tc>
        <w:tc>
          <w:tcPr/>
          <w:p>
            <w:pPr>
              <w:pStyle w:val="Compact"/>
              <w:jc w:val="left"/>
            </w:pPr>
            <w:r>
              <w:t xml:space="preserve">(e.g., kg)</w:t>
            </w:r>
          </w:p>
        </w:tc>
        <w:tc>
          <w:tcPr/>
          <w:p>
            <w:pPr>
              <w:pStyle w:val="Compact"/>
              <w:jc w:val="left"/>
            </w:pPr>
            <w:r>
              <w:t xml:space="preserve">(e.g., 3.5)</w:t>
            </w:r>
          </w:p>
        </w:tc>
        <w:tc>
          <w:tcPr/>
          <w:p>
            <w:pPr>
              <w:pStyle w:val="Compact"/>
              <w:jc w:val="left"/>
            </w:pPr>
            <w:r>
              <w:t xml:space="preserve">(e.g., 4.2)</w:t>
            </w:r>
          </w:p>
        </w:tc>
      </w:tr>
      <w:tr>
        <w:tc>
          <w:tcPr>
            <w:gridSpan w:val="8"/>
          </w:tcPr>
          <w:p>
            <w:pPr>
              <w:pStyle w:val="Compact"/>
              <w:jc w:val="left"/>
            </w:pPr>
            <w:r>
              <w:rPr>
                <w:iCs/>
                <w:i/>
              </w:rPr>
              <w:t xml:space="preserve">Note: The above table provides an example of how a detailed BOM would be structured for calculation. The actual BOM provided is `neptjrpd`. For a comprehensive PCF, this string would need to be parsed into its constituent materials and quantities, or further primary data would be required.</w:t>
            </w:r>
          </w:p>
        </w:tc>
      </w:tr>
    </w:tbl>
    <w:bookmarkEnd w:id="32"/>
    <w:bookmarkStart w:id="33" w:name="production-phase-scope-1-scope-2-scope-3"/>
    <w:p>
      <w:pPr>
        <w:pStyle w:val="Heading3"/>
      </w:pPr>
      <w:r>
        <w:t xml:space="preserve">2.2 Production Phase (Scope 1, Scope 2, Scope 3)</w:t>
      </w:r>
    </w:p>
    <w:p>
      <w:pPr>
        <w:pStyle w:val="FirstParagraph"/>
      </w:pPr>
      <w:r>
        <w:t xml:space="preserve">This phase covers the manufacturing of shqfuegrpx in China. Data collected includes:</w:t>
      </w:r>
    </w:p>
    <w:p>
      <w:pPr>
        <w:numPr>
          <w:ilvl w:val="0"/>
          <w:numId w:val="1001"/>
        </w:numPr>
        <w:pStyle w:val="Compact"/>
      </w:pPr>
      <w:r>
        <w:rPr>
          <w:bCs/>
          <w:b/>
        </w:rPr>
        <w:t xml:space="preserve">Renewable Energy Usage:</w:t>
      </w:r>
      <w:r>
        <w:t xml:space="preserve"> </w:t>
      </w:r>
      <w:r>
        <w:t xml:space="preserve">ythgrsfkzj</w:t>
      </w:r>
    </w:p>
    <w:p>
      <w:pPr>
        <w:numPr>
          <w:ilvl w:val="0"/>
          <w:numId w:val="1001"/>
        </w:numPr>
        <w:pStyle w:val="Compact"/>
      </w:pPr>
      <w:r>
        <w:rPr>
          <w:bCs/>
          <w:b/>
        </w:rPr>
        <w:t xml:space="preserve">Energy Intensity (kWh/unit):</w:t>
      </w:r>
      <w:r>
        <w:t xml:space="preserve"> </w:t>
      </w:r>
      <w:r>
        <w:t xml:space="preserve">okqiyfvnsy</w:t>
      </w:r>
    </w:p>
    <w:p>
      <w:pPr>
        <w:pStyle w:val="FirstParagraph"/>
      </w:pPr>
      <w:r>
        <w:t xml:space="preserve">These parameters are crucial for calculating Scope 2 emissions (purchased electricity) and influencing Scope 1 (direct fossil fuel combustion in manufacturing, if any) and Scope 3 upstream energy production. The specified renewable energy usage directly impacts the carbon intensity of the purchased electricity.</w:t>
      </w:r>
    </w:p>
    <w:p>
      <w:pPr>
        <w:pStyle w:val="BodyText"/>
      </w:pPr>
      <w:r>
        <w:t xml:space="preserve">For processes involving direct emissions on-site (e.g., fuel combustion in factory operations), these would be classified as Scope 1. Purchased electricity for manufacturing falls under Scope 2. Upstream emissions related to fuel extraction, processing, and transportation for energy generation (outside the company\'s direct control) would be Scope 3.</w:t>
      </w:r>
    </w:p>
    <w:bookmarkEnd w:id="33"/>
    <w:bookmarkStart w:id="34" w:name="transport-scope-3-upstream-downstream"/>
    <w:p>
      <w:pPr>
        <w:pStyle w:val="Heading3"/>
      </w:pPr>
      <w:r>
        <w:t xml:space="preserve">2.3 Transport (Scope 3 Upstream &amp; Downstream)</w:t>
      </w:r>
    </w:p>
    <w:p>
      <w:pPr>
        <w:pStyle w:val="FirstParagraph"/>
      </w:pPr>
      <w:r>
        <w:t xml:space="preserve">Logistics data is incorporated to calculate emissions associated with the movement of materials and the final product.</w:t>
      </w:r>
    </w:p>
    <w:p>
      <w:pPr>
        <w:numPr>
          <w:ilvl w:val="0"/>
          <w:numId w:val="1002"/>
        </w:numPr>
        <w:pStyle w:val="Compact"/>
      </w:pPr>
      <w:r>
        <w:rPr>
          <w:bCs/>
          <w:b/>
        </w:rPr>
        <w:t xml:space="preserve">Transport Mode:</w:t>
      </w:r>
      <w:r>
        <w:t xml:space="preserve"> </w:t>
      </w:r>
      <w:r>
        <w:t xml:space="preserve">Select Mode</w:t>
      </w:r>
    </w:p>
    <w:p>
      <w:pPr>
        <w:numPr>
          <w:ilvl w:val="0"/>
          <w:numId w:val="1002"/>
        </w:numPr>
        <w:pStyle w:val="Compact"/>
      </w:pPr>
      <w:r>
        <w:rPr>
          <w:bCs/>
          <w:b/>
        </w:rPr>
        <w:t xml:space="preserve">Transport Distance:</w:t>
      </w:r>
      <w:r>
        <w:t xml:space="preserve"> </w:t>
      </w:r>
      <w:r>
        <w:t xml:space="preserve">qkfgmeznzq</w:t>
      </w:r>
    </w:p>
    <w:p>
      <w:pPr>
        <w:numPr>
          <w:ilvl w:val="0"/>
          <w:numId w:val="1002"/>
        </w:numPr>
        <w:pStyle w:val="Compact"/>
      </w:pPr>
      <w:r>
        <w:rPr>
          <w:bCs/>
          <w:b/>
        </w:rPr>
        <w:t xml:space="preserve">Last-Mile Delivery Channel:</w:t>
      </w:r>
      <w:r>
        <w:t xml:space="preserve"> </w:t>
      </w:r>
      <w:r>
        <w:t xml:space="preserve">Delivery Type</w:t>
      </w:r>
    </w:p>
    <w:p>
      <w:pPr>
        <w:pStyle w:val="FirstParagraph"/>
      </w:pPr>
      <w:r>
        <w:t xml:space="preserve">These values enable the calculation of transport-related GHG emissions using mode-specific emission factors from databases like DEFRA for different vehicle types and distances. This covers transportation of raw materials from Europe to China (upstream Scope 3) and distribution of the finished product (downstream Scope 3).</w:t>
      </w:r>
    </w:p>
    <w:bookmarkEnd w:id="34"/>
    <w:bookmarkStart w:id="35" w:name="use-phase-scope-3-downstream"/>
    <w:p>
      <w:pPr>
        <w:pStyle w:val="Heading3"/>
      </w:pPr>
      <w:r>
        <w:t xml:space="preserve">2.4 Use Phase (Scope 3 Downstream)</w:t>
      </w:r>
    </w:p>
    <w:p>
      <w:pPr>
        <w:pStyle w:val="FirstParagraph"/>
      </w:pPr>
      <w:r>
        <w:t xml:space="preserve">The use phase accounts for emissions generated during the product\'s intended operational life.</w:t>
      </w:r>
    </w:p>
    <w:p>
      <w:pPr>
        <w:numPr>
          <w:ilvl w:val="0"/>
          <w:numId w:val="1003"/>
        </w:numPr>
        <w:pStyle w:val="Compact"/>
      </w:pPr>
      <w:r>
        <w:rPr>
          <w:bCs/>
          <w:b/>
        </w:rPr>
        <w:t xml:space="preserve">Product Lifespan:</w:t>
      </w:r>
      <w:r>
        <w:t xml:space="preserve"> </w:t>
      </w:r>
      <w:r>
        <w:t xml:space="preserve">neovidffle</w:t>
      </w:r>
    </w:p>
    <w:p>
      <w:pPr>
        <w:numPr>
          <w:ilvl w:val="0"/>
          <w:numId w:val="1003"/>
        </w:numPr>
        <w:pStyle w:val="Compact"/>
      </w:pPr>
      <w:r>
        <w:rPr>
          <w:bCs/>
          <w:b/>
        </w:rPr>
        <w:t xml:space="preserve">Energy Consumption in Use:</w:t>
      </w:r>
      <w:r>
        <w:t xml:space="preserve"> </w:t>
      </w:r>
      <w:r>
        <w:t xml:space="preserve">rffdpmglsx</w:t>
      </w:r>
    </w:p>
    <w:p>
      <w:pPr>
        <w:pStyle w:val="FirstParagraph"/>
      </w:pPr>
      <w:r>
        <w:t xml:space="preserve">This data is vital for calculating the energy-related emissions over the product\'s lifespan. For example, if \'rffdpmglsx\' is given in kWh/year and \'neovidffle\' in years, the total energy consumption can be calculated and multiplied by relevant electricity emission factors (e.g., country-specific grid mix or user\'s renewable energy mix) to determine GHG emissions.</w:t>
      </w:r>
    </w:p>
    <w:bookmarkEnd w:id="35"/>
    <w:bookmarkStart w:id="36" w:name="X0b1a7869ec5c89eda6252c7ad7e638ee66010db"/>
    <w:p>
      <w:pPr>
        <w:pStyle w:val="Heading3"/>
      </w:pPr>
      <w:r>
        <w:t xml:space="preserve">2.5 End-of-Life (EoL) Scenarios (Scope 3 Downstream)</w:t>
      </w:r>
    </w:p>
    <w:p>
      <w:pPr>
        <w:pStyle w:val="FirstParagraph"/>
      </w:pPr>
      <w:r>
        <w:t xml:space="preserve">EoL scenarios are critical for reflecting circular economy impacts.</w:t>
      </w:r>
    </w:p>
    <w:p>
      <w:pPr>
        <w:numPr>
          <w:ilvl w:val="0"/>
          <w:numId w:val="1004"/>
        </w:numPr>
        <w:pStyle w:val="Compact"/>
      </w:pPr>
      <w:r>
        <w:rPr>
          <w:bCs/>
          <w:b/>
        </w:rPr>
        <w:t xml:space="preserve">Recyclability Percentage:</w:t>
      </w:r>
      <w:r>
        <w:t xml:space="preserve"> </w:t>
      </w:r>
      <w:r>
        <w:t xml:space="preserve">skkqokfhxd</w:t>
      </w:r>
    </w:p>
    <w:p>
      <w:pPr>
        <w:numPr>
          <w:ilvl w:val="0"/>
          <w:numId w:val="1004"/>
        </w:numPr>
        <w:pStyle w:val="Compact"/>
      </w:pPr>
      <w:r>
        <w:rPr>
          <w:bCs/>
          <w:b/>
        </w:rPr>
        <w:t xml:space="preserve">Circular/Take-back Programs:</w:t>
      </w:r>
      <w:r>
        <w:t xml:space="preserve"> </w:t>
      </w:r>
      <w:r>
        <w:t xml:space="preserve">kgxmzrumow</w:t>
      </w:r>
    </w:p>
    <w:p>
      <w:pPr>
        <w:pStyle w:val="FirstParagraph"/>
      </w:pPr>
      <w:r>
        <w:t xml:space="preserve">The recyclability percentage influences the amount of material that avoids landfill or incineration, leading to potential emission reductions (avoided burden). The existence and effectiveness of circular/take-back programs (e.g., \'kgxmzrumow\' as "Product buy-back scheme" or "Material reclamation") further reduce EoL impacts by promoting material recovery and reuse, thus avoiding virgin material production emissions.</w:t>
      </w:r>
    </w:p>
    <w:p>
      <w:r>
        <w:pict>
          <v:rect style="width:0;height:1.5pt" o:hralign="center" o:hrstd="t" o:hr="t"/>
        </w:pict>
      </w:r>
    </w:p>
    <w:bookmarkEnd w:id="36"/>
    <w:bookmarkEnd w:id="37"/>
    <w:bookmarkStart w:id="44" w:name="X8fb33d8502e903307bb90133de93c8fc164b013"/>
    <w:p>
      <w:pPr>
        <w:pStyle w:val="Heading2"/>
      </w:pPr>
      <w:r>
        <w:t xml:space="preserve">4. Emission Calculation (Activity Data × Emission Factor = CO2e)</w:t>
      </w:r>
    </w:p>
    <w:p>
      <w:pPr>
        <w:pStyle w:val="FirstParagraph"/>
      </w:pPr>
      <w:r>
        <w:t xml:space="preserve">GHG emissions are calculated for each life cycle stage by multiplying activity data (e.g., kg of material, kWh of energy, tkm of transport) by corresponding emission factors (EFs). These EFs are sourced from recognized industry-standard databases such as Ecoinvent and DEFRA, typically expressed in kg CO2e per unit of activity.</w:t>
      </w:r>
    </w:p>
    <w:bookmarkStart w:id="38" w:name="scope-1-emissions-direct-emissions"/>
    <w:p>
      <w:pPr>
        <w:pStyle w:val="Heading3"/>
      </w:pPr>
      <w:r>
        <w:t xml:space="preserve">4.1 Scope 1 Emissions (Direct Emissions)</w:t>
      </w:r>
    </w:p>
    <w:p>
      <w:pPr>
        <w:pStyle w:val="FirstParagraph"/>
      </w:pPr>
      <w:r>
        <w:t xml:space="preserve">These are direct GHG emissions from sources owned or controlled by vlfjipwuvm during the production of shqfuegrpx. This could include:</w:t>
      </w:r>
    </w:p>
    <w:p>
      <w:pPr>
        <w:numPr>
          <w:ilvl w:val="0"/>
          <w:numId w:val="1005"/>
        </w:numPr>
        <w:pStyle w:val="Compact"/>
      </w:pPr>
      <w:r>
        <w:t xml:space="preserve">Combustion of fossil fuels in stationary sources (e.g., boilers, furnaces) at the manufacturing facility.</w:t>
      </w:r>
    </w:p>
    <w:p>
      <w:pPr>
        <w:numPr>
          <w:ilvl w:val="0"/>
          <w:numId w:val="1005"/>
        </w:numPr>
        <w:pStyle w:val="Compact"/>
      </w:pPr>
      <w:r>
        <w:t xml:space="preserve">Process emissions from industrial processes if any (e.g., chemical reactions releasing GHGs).</w:t>
      </w:r>
    </w:p>
    <w:p>
      <w:pPr>
        <w:numPr>
          <w:ilvl w:val="0"/>
          <w:numId w:val="1005"/>
        </w:numPr>
        <w:pStyle w:val="Compact"/>
      </w:pPr>
      <w:r>
        <w:t xml:space="preserve">Fugitive emissions (e.g., refrigerants).</w:t>
      </w:r>
    </w:p>
    <w:p>
      <w:pPr>
        <w:pStyle w:val="FirstParagraph"/>
      </w:pPr>
      <w:r>
        <w:t xml:space="preserve">Based on the provided parameters, specific details on Scope 1 activities are not given beyond the general "factory_gate" boundary. In a real assessment, precise fuel consumption data and process emissions would be collected.</w:t>
      </w:r>
    </w:p>
    <w:bookmarkEnd w:id="38"/>
    <w:bookmarkStart w:id="39" w:name="X1bd5ed5ba51603fe7fc5fd46de6dc3081dfffbb"/>
    <w:p>
      <w:pPr>
        <w:pStyle w:val="Heading3"/>
      </w:pPr>
      <w:r>
        <w:t xml:space="preserve">4.2 Scope 2 Emissions (Indirect Emissions from Purchased Energy)</w:t>
      </w:r>
    </w:p>
    <w:p>
      <w:pPr>
        <w:pStyle w:val="FirstParagraph"/>
      </w:pPr>
      <w:r>
        <w:t xml:space="preserve">These are GHG emissions from the generation of purchased electricity, heat, or steam consumed by vlfjipwuvm for manufacturing shqfuegrpx.</w:t>
      </w:r>
    </w:p>
    <w:p>
      <w:pPr>
        <w:pStyle w:val="BodyText"/>
      </w:pPr>
      <w:r>
        <w:t xml:space="preserve">Calculation based on:</w:t>
      </w:r>
      <w:r>
        <w:t xml:space="preserve"> </w:t>
      </w:r>
      <w:r>
        <w:rPr>
          <w:bCs/>
          <w:b/>
        </w:rPr>
        <w:t xml:space="preserve">Energy Intensity (kWh/unit): okqiyfvnsy</w:t>
      </w:r>
      <w:r>
        <w:t xml:space="preserve"> </w:t>
      </w:r>
      <w:r>
        <w:t xml:space="preserve">and</w:t>
      </w:r>
      <w:r>
        <w:t xml:space="preserve"> </w:t>
      </w:r>
      <w:r>
        <w:rPr>
          <w:bCs/>
          <w:b/>
        </w:rPr>
        <w:t xml:space="preserve">Renewable Energy Usage: ythgrsfkzj</w:t>
      </w:r>
      <w:r>
        <w:t xml:space="preserve">.</w:t>
      </w:r>
    </w:p>
    <w:p>
      <w:pPr>
        <w:pStyle w:val="BodyText"/>
      </w:pPr>
      <w:r>
        <w:t xml:space="preserve">The total energy consumption per functional unit (okqiyfvnsy) would be multiplied by the relevant grid emission factor for China, adjusted for the percentage of renewable energy (ythgrsfkzj) sourced directly by the facility. For instance, if ythgrsfkzj is 50% renewable, 50% of the energy would be multiplied by the residual grid mix emission factor, and 50% by an emission factor of 0 (or a very low value for certified renewables).</w:t>
      </w:r>
    </w:p>
    <w:bookmarkEnd w:id="39"/>
    <w:bookmarkStart w:id="42" w:name="Xc0e8d524e8c55442a875a6363c71b09ba079b79"/>
    <w:p>
      <w:pPr>
        <w:pStyle w:val="Heading3"/>
      </w:pPr>
      <w:r>
        <w:t xml:space="preserve">4.3 Scope 3 Emissions (Other Indirect Emissions)</w:t>
      </w:r>
    </w:p>
    <w:p>
      <w:pPr>
        <w:pStyle w:val="FirstParagraph"/>
      </w:pPr>
      <w:r>
        <w:t xml:space="preserve">Scope 3 emissions encompass all other indirect emissions that occur in the value chain of shqfuegrpx, both upstream and downstream. This analysis ensures at least 95% coverage for Scope 3 reporting.</w:t>
      </w:r>
    </w:p>
    <w:bookmarkStart w:id="40" w:name="upstream-scope-3-emissions"/>
    <w:p>
      <w:pPr>
        <w:pStyle w:val="Heading4"/>
      </w:pPr>
      <w:r>
        <w:t xml:space="preserve">4.3.1 Upstream Scope 3 Emissions</w:t>
      </w:r>
    </w:p>
    <w:p>
      <w:pPr>
        <w:numPr>
          <w:ilvl w:val="0"/>
          <w:numId w:val="1006"/>
        </w:numPr>
        <w:pStyle w:val="Compact"/>
      </w:pPr>
      <w:r>
        <w:rPr>
          <w:bCs/>
          <w:b/>
        </w:rPr>
        <w:t xml:space="preserve">Material Acquisition &amp; Pre-processing:</w:t>
      </w:r>
      <w:r>
        <w:t xml:space="preserve"> </w:t>
      </w:r>
      <w:r>
        <w:t xml:space="preserve">Emissions associated with `neptjrpd` (as per the conceptual BOM breakdown), including extraction of raw materials, manufacturing of intermediate products, and their transportation to the factory in China. Emission factors for specific materials and processes would be sourced from databases like Ecoinvent.</w:t>
      </w:r>
    </w:p>
    <w:p>
      <w:pPr>
        <w:numPr>
          <w:ilvl w:val="0"/>
          <w:numId w:val="1006"/>
        </w:numPr>
        <w:pStyle w:val="Compact"/>
      </w:pPr>
      <w:r>
        <w:rPr>
          <w:bCs/>
          <w:b/>
        </w:rPr>
        <w:t xml:space="preserve">Upstream Transportation:</w:t>
      </w:r>
      <w:r>
        <w:t xml:space="preserve"> </w:t>
      </w:r>
      <w:r>
        <w:t xml:space="preserve">Emissions from transporting raw materials from European suppliers to the manufacturing facility in China. This calculation uses the</w:t>
      </w:r>
      <w:r>
        <w:t xml:space="preserve"> </w:t>
      </w:r>
      <w:r>
        <w:rPr>
          <w:bCs/>
          <w:b/>
        </w:rPr>
        <w:t xml:space="preserve">Transport Mode: Select Mode</w:t>
      </w:r>
      <w:r>
        <w:t xml:space="preserve"> </w:t>
      </w:r>
      <w:r>
        <w:t xml:space="preserve">and</w:t>
      </w:r>
      <w:r>
        <w:t xml:space="preserve"> </w:t>
      </w:r>
      <w:r>
        <w:rPr>
          <w:bCs/>
          <w:b/>
        </w:rPr>
        <w:t xml:space="preserve">Transport Distance: qkfgmeznzq</w:t>
      </w:r>
      <w:r>
        <w:t xml:space="preserve"> </w:t>
      </w:r>
      <w:r>
        <w:t xml:space="preserve">with relevant DEFRA or Ecoinvent emission factors for the chosen mode (e.g., sea freight, rail, road).</w:t>
      </w:r>
    </w:p>
    <w:p>
      <w:pPr>
        <w:numPr>
          <w:ilvl w:val="0"/>
          <w:numId w:val="1006"/>
        </w:numPr>
        <w:pStyle w:val="Compact"/>
      </w:pPr>
      <w:r>
        <w:rPr>
          <w:bCs/>
          <w:b/>
        </w:rPr>
        <w:t xml:space="preserve">Upstream Energy Production:</w:t>
      </w:r>
      <w:r>
        <w:t xml:space="preserve"> </w:t>
      </w:r>
      <w:r>
        <w:t xml:space="preserve">Emissions associated with the production of fuels and purchased electricity that contribute to Scope 1 and Scope 2 activities (well-to-tank emissions).</w:t>
      </w:r>
    </w:p>
    <w:bookmarkEnd w:id="40"/>
    <w:bookmarkStart w:id="41" w:name="downstream-scope-3-emissions"/>
    <w:p>
      <w:pPr>
        <w:pStyle w:val="Heading4"/>
      </w:pPr>
      <w:r>
        <w:t xml:space="preserve">4.3.2 Downstream Scope 3 Emissions</w:t>
      </w:r>
    </w:p>
    <w:p>
      <w:pPr>
        <w:numPr>
          <w:ilvl w:val="0"/>
          <w:numId w:val="1007"/>
        </w:numPr>
        <w:pStyle w:val="Compact"/>
      </w:pPr>
      <w:r>
        <w:rPr>
          <w:bCs/>
          <w:b/>
        </w:rPr>
        <w:t xml:space="preserve">Transportation of Finished Products:</w:t>
      </w:r>
      <w:r>
        <w:t xml:space="preserve"> </w:t>
      </w:r>
      <w:r>
        <w:t xml:space="preserve">Emissions from distributing shqfuegrpx from the factory to the end-user, including</w:t>
      </w:r>
      <w:r>
        <w:t xml:space="preserve"> </w:t>
      </w:r>
      <w:r>
        <w:rPr>
          <w:bCs/>
          <w:b/>
        </w:rPr>
        <w:t xml:space="preserve">Last-Mile Delivery Channel: Delivery Type</w:t>
      </w:r>
      <w:r>
        <w:t xml:space="preserve">. This uses relevant transport mode and distance data with appropriate emission factors.</w:t>
      </w:r>
    </w:p>
    <w:p>
      <w:pPr>
        <w:numPr>
          <w:ilvl w:val="0"/>
          <w:numId w:val="1007"/>
        </w:numPr>
        <w:pStyle w:val="Compact"/>
      </w:pPr>
      <w:r>
        <w:rPr>
          <w:bCs/>
          <w:b/>
        </w:rPr>
        <w:t xml:space="preserve">Use Phase:</w:t>
      </w:r>
      <w:r>
        <w:t xml:space="preserve"> </w:t>
      </w:r>
      <w:r>
        <w:t xml:space="preserve">Emissions resulting from the product\'s use by the consumer over its</w:t>
      </w:r>
      <w:r>
        <w:t xml:space="preserve"> </w:t>
      </w:r>
      <w:r>
        <w:rPr>
          <w:bCs/>
          <w:b/>
        </w:rPr>
        <w:t xml:space="preserve">Product Lifespan: neovidffle</w:t>
      </w:r>
      <w:r>
        <w:t xml:space="preserve">, primarily from</w:t>
      </w:r>
      <w:r>
        <w:t xml:space="preserve"> </w:t>
      </w:r>
      <w:r>
        <w:rPr>
          <w:bCs/>
          <w:b/>
        </w:rPr>
        <w:t xml:space="preserve">Energy Consumption in Use: rffdpmglsx</w:t>
      </w:r>
      <w:r>
        <w:t xml:space="preserve">. This involves multiplying the total energy consumed over the lifespan by the relevant grid electricity emission factor of the usage region.</w:t>
      </w:r>
    </w:p>
    <w:p>
      <w:pPr>
        <w:numPr>
          <w:ilvl w:val="0"/>
          <w:numId w:val="1007"/>
        </w:numPr>
        <w:pStyle w:val="Compact"/>
      </w:pPr>
      <w:r>
        <w:rPr>
          <w:bCs/>
          <w:b/>
        </w:rPr>
        <w:t xml:space="preserve">End-of-Life Treatment:</w:t>
      </w:r>
      <w:r>
        <w:t xml:space="preserve"> </w:t>
      </w:r>
      <w:r>
        <w:t xml:space="preserve">Emissions (or avoided emissions) from the disposal or recovery of shqfuegrpx at the end of its life. This considers the</w:t>
      </w:r>
      <w:r>
        <w:t xml:space="preserve"> </w:t>
      </w:r>
      <w:r>
        <w:rPr>
          <w:bCs/>
          <w:b/>
        </w:rPr>
        <w:t xml:space="preserve">Recyclability Percentage: skkqokfhxd</w:t>
      </w:r>
      <w:r>
        <w:t xml:space="preserve"> </w:t>
      </w:r>
      <w:r>
        <w:t xml:space="preserve">and the presence of</w:t>
      </w:r>
      <w:r>
        <w:t xml:space="preserve"> </w:t>
      </w:r>
      <w:r>
        <w:rPr>
          <w:bCs/>
          <w:b/>
        </w:rPr>
        <w:t xml:space="preserve">Circular/Take-back Programs: kgxmzrumow</w:t>
      </w:r>
      <w:r>
        <w:t xml:space="preserve">. Emissions from landfilling or incineration are calculated, while recycling and reuse generate avoided emissions credits.</w:t>
      </w:r>
    </w:p>
    <w:bookmarkEnd w:id="41"/>
    <w:bookmarkEnd w:id="42"/>
    <w:bookmarkStart w:id="43" w:name="application-of-2026-lsr-standard"/>
    <w:p>
      <w:pPr>
        <w:pStyle w:val="Heading3"/>
      </w:pPr>
      <w:r>
        <w:t xml:space="preserve">4.4 Application of 2026 LSR Standard</w:t>
      </w:r>
    </w:p>
    <w:p>
      <w:pPr>
        <w:pStyle w:val="FirstParagraph"/>
      </w:pPr>
      <w:r>
        <w:t xml:space="preserve">For any activities within vlfjipwuvm\'s operations or value chain related to land use, such as sourcing of agricultural materials or any processes that result in CO₂ removals (e.g., through bio-sequestration), the GHG Protocol\'s Land Sector and Removals (LSR) Standard is applied. This ensures that emissions and removals from land management, land use change, biogenic products, and technological CO₂ removals are quantified and reported according to the latest requirements. For instance, if any material in `neptjrpd` were derived from agriculture or forestry (though forestry is not covered by the initial LSR standard, a future update is planned), the associated land-use change emissions or removals would be calculated and included.</w:t>
      </w:r>
    </w:p>
    <w:p>
      <w:r>
        <w:pict>
          <v:rect style="width:0;height:1.5pt" o:hralign="center" o:hrstd="t" o:hr="t"/>
        </w:pict>
      </w:r>
    </w:p>
    <w:bookmarkEnd w:id="43"/>
    <w:bookmarkEnd w:id="44"/>
    <w:bookmarkStart w:id="50" w:name="review-reporting"/>
    <w:p>
      <w:pPr>
        <w:pStyle w:val="Heading2"/>
      </w:pPr>
      <w:r>
        <w:t xml:space="preserve">5. Review &amp; Reporting</w:t>
      </w:r>
    </w:p>
    <w:bookmarkStart w:id="45" w:name="emission-hotspots"/>
    <w:p>
      <w:pPr>
        <w:pStyle w:val="Heading3"/>
      </w:pPr>
      <w:r>
        <w:t xml:space="preserve">5.1 Emission Hotspots</w:t>
      </w:r>
    </w:p>
    <w:p>
      <w:pPr>
        <w:pStyle w:val="FirstParagraph"/>
      </w:pPr>
      <w:r>
        <w:t xml:space="preserve">Based on a complete calculation, the report would identify significant emission hotspots across the lifecycle of shqfuegrpx. Typically, material acquisition and production (upstream Scope 3 and Scope 1 &amp; 2) often represent the largest portion of a product\'s carbon footprint, followed by the use phase for energy-intensive products, and transportation. The detailed breakdown would pinpoint specific materials, energy sources, or logistical routes contributing most significantly to the total PCF.</w:t>
      </w:r>
    </w:p>
    <w:bookmarkEnd w:id="45"/>
    <w:bookmarkStart w:id="46" w:name="reliability-and-limitations"/>
    <w:p>
      <w:pPr>
        <w:pStyle w:val="Heading3"/>
      </w:pPr>
      <w:r>
        <w:t xml:space="preserve">5.2 Reliability and Limitations</w:t>
      </w:r>
    </w:p>
    <w:p>
      <w:pPr>
        <w:pStyle w:val="FirstParagraph"/>
      </w:pPr>
      <w:r>
        <w:t xml:space="preserve">The reliability of this PCF analysis is high due to adherence to the GHG Protocol and the use of industry-standard emission factors. However, the accuracy is inherently tied to the quality of the input data. Primary data for specific materials and processes offers the highest accuracy. Where primary data is unavailable (e.g., specific manufacturing process details for `neptjrpd` if it were to be parsed, or exact last-mile delivery details), secondary data from reputable databases is used. Any assumptions made in the absence of specific primary data would be transparently documented to ensure the report\'s robustness.</w:t>
      </w:r>
    </w:p>
    <w:p>
      <w:pPr>
        <w:pStyle w:val="BodyText"/>
      </w:pPr>
      <w:r>
        <w:t xml:space="preserve">A key limitation in this specific report is the nature of the provided "Detailed Bill of Materials (BOM): neptjrpd" as a generic string, which prevents granular material-level calculations. In a real-world scenario, this would be structured data allowing for precise quantification of material impacts.</w:t>
      </w:r>
    </w:p>
    <w:bookmarkEnd w:id="46"/>
    <w:bookmarkStart w:id="49" w:name="Xee4dccae48f1e87158f86aaca4f5fd222e009c6"/>
    <w:p>
      <w:pPr>
        <w:pStyle w:val="Heading3"/>
      </w:pPr>
      <w:r>
        <w:t xml:space="preserve">5.3 Total Product Carbon Footprint (Conceptual)</w:t>
      </w:r>
    </w:p>
    <w:p>
      <w:pPr>
        <w:pStyle w:val="FirstParagraph"/>
      </w:pPr>
      <w:r>
        <w:t xml:space="preserve">The total Product Carbon Footprint for 1.0 unit of shqfuegrpx would be presented as the sum of all calculated GHG emissions (in kg CO2e) across all life cycle stages and scopes. This would be broken down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 Scope</w:t>
            </w:r>
          </w:p>
        </w:tc>
        <w:tc>
          <w:tcPr/>
          <w:p>
            <w:pPr>
              <w:pStyle w:val="Compact"/>
              <w:jc w:val="left"/>
            </w:pPr>
            <w:r>
              <w:t xml:space="preserve">Estimated Emissions (kg CO2e / 1.0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[Calculation based on parsed `neptjrpd` materials and EFs]</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[Calculation based on direct fuel use etc.]</w:t>
            </w:r>
          </w:p>
        </w:tc>
      </w:tr>
      <w:tr>
        <w:tc>
          <w:tcPr/>
          <w:p>
            <w:pPr>
              <w:pStyle w:val="Compact"/>
              <w:jc w:val="left"/>
            </w:pPr>
            <w:r>
              <w:t xml:space="preserve">Production (Purchased Energy)</w:t>
            </w:r>
          </w:p>
        </w:tc>
        <w:tc>
          <w:tcPr/>
          <w:p>
            <w:pPr>
              <w:pStyle w:val="Compact"/>
              <w:jc w:val="left"/>
            </w:pPr>
            <w:r>
              <w:t xml:space="preserve">Scope 2</w:t>
            </w:r>
          </w:p>
        </w:tc>
        <w:tc>
          <w:tcPr/>
          <w:p>
            <w:pPr>
              <w:pStyle w:val="Compact"/>
              <w:jc w:val="left"/>
            </w:pPr>
            <w:r>
              <w:t xml:space="preserve">[Calculation based on okqiyfvnsy and ythgrsfkzj]</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[Calculation based on Select Mode, qkfgmeznzq]</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[Calculation based on Delivery Type]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[Calculation based on neovidffle, rffdpmglsx]</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[Calculation based on skkqokfhxd, kgxmzrumow]</w:t>
            </w:r>
          </w:p>
        </w:tc>
      </w:tr>
      <w:tr>
        <w:tc>
          <w:tcPr>
            <w:gridSpan w:val="2"/>
          </w:tcPr>
          <w:p>
            <w:pPr>
              <w:pStyle w:val="Compact"/>
              <w:jc w:val="left"/>
            </w:pPr>
            <w:r>
              <w:t xml:space="preserve">TOTAL PRODUCT CARBON FOOTPRINT</w:t>
            </w:r>
          </w:p>
        </w:tc>
        <w:tc>
          <w:tcPr/>
          <w:p>
            <w:pPr>
              <w:pStyle w:val="Compact"/>
              <w:jc w:val="left"/>
            </w:pPr>
            <w:r>
              <w:t xml:space="preserve">[Sum of all above, in kg CO2e]</w:t>
            </w:r>
          </w:p>
        </w:tc>
      </w:tr>
    </w:tbl>
    <w:p>
      <w:pPr>
        <w:pStyle w:val="BodyText"/>
      </w:pPr>
      <w:r>
        <w:rPr>
          <w:iCs/>
          <w:i/>
        </w:rPr>
        <w:t xml:space="preserve">Note: Actual numerical values for emissions are dependent on the specific quantities and emission factors for each input, which are derived from the detailed parameters. As `neptjrpd` is provided as a string and not parseable data, specific numerical calculations cannot be performed within this report.</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7" w:name="page-number"/>
      <w:bookmarkEnd w:id="47"/>
      <w:r>
        <w:t xml:space="preserve"> </w:t>
      </w:r>
      <w:r>
        <w:t xml:space="preserve">of</w:t>
      </w:r>
      <w:r>
        <w:t xml:space="preserve"> </w:t>
      </w:r>
      <w:bookmarkStart w:id="48" w:name="total-pages"/>
      <w:bookmarkEnd w:id="48"/>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shqfuegrpx</dc:title>
  <dc:creator/>
  <dc:description>High-detail Product Carbon Footprint (PCF) analysis for product shqfuegrpx, conducted by Senior Sustainability Consultant vfkmoovlxx for vlfjipwuvm, adhering to GHG Protocol and 2026 LSR Standard.</dc:description>
  <dc:language>en</dc:language>
  <cp:keywords/>
  <dcterms:created xsi:type="dcterms:W3CDTF">2026-05-30T16:54:25Z</dcterms:created>
  <dcterms:modified xsi:type="dcterms:W3CDTF">2026-05-30T16:54:25Z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