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sfldnrvuxq</w:t>
      </w:r>
      <w:r>
        <w:t xml:space="preserve"> </w:t>
      </w:r>
      <w:r>
        <w:t xml:space="preserve">-</w:t>
      </w:r>
      <w:r>
        <w:t xml:space="preserve"> </w:t>
      </w:r>
      <w:r>
        <w:t xml:space="preserve">kohzflxxsi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sfldnrvuxq</w:t>
      </w:r>
    </w:p>
    <w:p>
      <w:pPr>
        <w:pStyle w:val="BodyText"/>
      </w:pPr>
      <w:r>
        <w:rPr>
          <w:bCs/>
          <w:b/>
        </w:rPr>
        <w:t xml:space="preserve">Company:</w:t>
      </w:r>
      <w:r>
        <w:t xml:space="preserve"> </w:t>
      </w:r>
      <w:r>
        <w:t xml:space="preserve">kohzflxxsi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yoxrinelex</w:t>
      </w:r>
    </w:p>
    <w:p>
      <w:pPr>
        <w:pStyle w:val="BodyText"/>
      </w:pPr>
      <w:r>
        <w:rPr>
          <w:iCs/>
          <w:i/>
        </w:rPr>
        <w:t xml:space="preserve">This report is generated based on available data and industry standards. While every effort has been made to ensure accuracy, certain assumptions have been made due to data limitations.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sfldnrvuxq</w:t>
      </w:r>
    </w:p>
    <w:p>
      <w:pPr>
        <w:pStyle w:val="BodyText"/>
      </w:pPr>
      <w:r>
        <w:rPr>
          <w:bCs/>
          <w:b/>
        </w:rPr>
        <w:t xml:space="preserve">Generated Date:</w:t>
      </w:r>
      <w:r>
        <w:t xml:space="preserve"> </w:t>
      </w:r>
      <w:r>
        <w:t xml:space="preserve">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detailed Product Carbon Footprint (PCF) analysis for sfldnrvuxq, a product manufactured by kohzflxxsi. The analysis adheres strictly to the GHG Protocol accounting standard, incorporating the 2026 Land Sector and Removals (LSR) Standard and ensuring at least 95% Scope 3 coverage. The primary objective is to quantify the greenhouse gas emissions associated with sfldnrvuxq across its lifecycle, identify emission hotspots, and provide actionable insights for sustainability improvements. The functional unit for this study is 1.0 unit of sfldnrvuxq, with a system boundary set at factory-gate for production and extending to include transport, use phase, and end-of-life for a comprehensive cradle-to-grave assessment.</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PCF analysis is</w:t>
      </w:r>
      <w:r>
        <w:t xml:space="preserve"> </w:t>
      </w:r>
      <w:r>
        <w:rPr>
          <w:bCs/>
          <w:b/>
        </w:rPr>
        <w:t xml:space="preserve">1.0 unit of sfldnrvuxq</w:t>
      </w:r>
      <w:r>
        <w:t xml:space="preserve">. This unit serves as the reference flow to which all input and output data are normalized, allowing for consistent quantification and comparison of environmental impacts.</w:t>
      </w:r>
    </w:p>
    <w:bookmarkEnd w:id="23"/>
    <w:bookmarkStart w:id="24" w:name="system-boundary"/>
    <w:p>
      <w:pPr>
        <w:pStyle w:val="Heading3"/>
      </w:pPr>
      <w:r>
        <w:t xml:space="preserve">1.2 System Boundary</w:t>
      </w:r>
    </w:p>
    <w:p>
      <w:pPr>
        <w:pStyle w:val="FirstParagraph"/>
      </w:pPr>
      <w:r>
        <w:t xml:space="preserve">The system boundary for this assessment follows a "cradle-to-grave" approach, encompassing all stages from raw material extraction to end-of-life treatment. Specifically, the boundary for direct calculation is "factory-gate" for production processes, which is then expanded to include:</w:t>
      </w:r>
    </w:p>
    <w:p>
      <w:pPr>
        <w:numPr>
          <w:ilvl w:val="0"/>
          <w:numId w:val="1001"/>
        </w:numPr>
        <w:pStyle w:val="Compact"/>
      </w:pPr>
      <w:r>
        <w:t xml:space="preserve">Raw Material Acquisition and Pre-processing</w:t>
      </w:r>
    </w:p>
    <w:p>
      <w:pPr>
        <w:numPr>
          <w:ilvl w:val="0"/>
          <w:numId w:val="1001"/>
        </w:numPr>
        <w:pStyle w:val="Compact"/>
      </w:pPr>
      <w:r>
        <w:t xml:space="preserve">Manufacturing (at kohzflxxsi\'s production facility)</w:t>
      </w:r>
    </w:p>
    <w:p>
      <w:pPr>
        <w:numPr>
          <w:ilvl w:val="0"/>
          <w:numId w:val="1001"/>
        </w:numPr>
        <w:pStyle w:val="Compact"/>
      </w:pPr>
      <w:r>
        <w:t xml:space="preserve">Transportation (to distribution centers and last-mile delivery)</w:t>
      </w:r>
    </w:p>
    <w:p>
      <w:pPr>
        <w:numPr>
          <w:ilvl w:val="0"/>
          <w:numId w:val="1001"/>
        </w:numPr>
        <w:pStyle w:val="Compact"/>
      </w:pPr>
      <w:r>
        <w:t xml:space="preserve">Use Phase (customer usage)</w:t>
      </w:r>
    </w:p>
    <w:p>
      <w:pPr>
        <w:numPr>
          <w:ilvl w:val="0"/>
          <w:numId w:val="1001"/>
        </w:numPr>
        <w:pStyle w:val="Compact"/>
      </w:pPr>
      <w:r>
        <w:t xml:space="preserve">End-of-Life (disposal, recycling, recovery)</w:t>
      </w:r>
    </w:p>
    <w:bookmarkEnd w:id="24"/>
    <w:bookmarkStart w:id="25" w:name="geographic-scope"/>
    <w:p>
      <w:pPr>
        <w:pStyle w:val="Heading3"/>
      </w:pPr>
      <w:r>
        <w:t xml:space="preserve">1.3 Geographic Scope</w:t>
      </w:r>
    </w:p>
    <w:p>
      <w:pPr>
        <w:pStyle w:val="FirstParagraph"/>
      </w:pPr>
      <w:r>
        <w:t xml:space="preserve">The final production country for sfldnrvuxq is</w:t>
      </w:r>
      <w:r>
        <w:t xml:space="preserve"> </w:t>
      </w:r>
      <w:r>
        <w:rPr>
          <w:bCs/>
          <w:b/>
        </w:rPr>
        <w:t xml:space="preserve">China</w:t>
      </w:r>
      <w:r>
        <w:t xml:space="preserve">. The supply chain focus is primarily</w:t>
      </w:r>
      <w:r>
        <w:t xml:space="preserve"> </w:t>
      </w:r>
      <w:r>
        <w:rPr>
          <w:bCs/>
          <w:b/>
        </w:rPr>
        <w:t xml:space="preserve">Europe Focused</w:t>
      </w:r>
      <w:r>
        <w:t xml:space="preserve">, implying that raw material sourcing, component manufacturing, and primary logistics routes have a significant European component before final assembly in China. This geographic scope influences the selection of region-specific emission factors where available.</w:t>
      </w:r>
    </w:p>
    <w:bookmarkEnd w:id="25"/>
    <w:bookmarkStart w:id="26" w:name="accounting-standard-and-allocation"/>
    <w:p>
      <w:pPr>
        <w:pStyle w:val="Heading3"/>
      </w:pPr>
      <w:r>
        <w:t xml:space="preserve">1.4 Accounting Standard and Allocation</w:t>
      </w:r>
    </w:p>
    <w:p>
      <w:pPr>
        <w:pStyle w:val="FirstParagraph"/>
      </w:pPr>
      <w:r>
        <w:t xml:space="preserve">This PCF analysis is conducted in accordance with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in the value chain). Allocation procedures follow GHG Protocol guidance, ensuring that environmental burdens are appropriately distributed to co-products or by-products based on physical relationships (e.g., mass, energy content) or economic value where applicable. The</w:t>
      </w:r>
      <w:r>
        <w:t xml:space="preserve"> </w:t>
      </w:r>
      <w:r>
        <w:rPr>
          <w:bCs/>
          <w:b/>
        </w:rPr>
        <w:t xml:space="preserve">2026 Land Sector and Removals (LSR) Standard</w:t>
      </w:r>
      <w:r>
        <w:t xml:space="preserve"> </w:t>
      </w:r>
      <w:r>
        <w:t xml:space="preserve">is applied to account for land use change emissions and carbon removals, integrating these aspects into the overall carbon footprint calculation.</w:t>
      </w:r>
    </w:p>
    <w:p>
      <w:r>
        <w:pict>
          <v:rect style="width:0;height:1.5pt" o:hralign="center" o:hrstd="t" o:hr="t"/>
        </w:pict>
      </w:r>
    </w:p>
    <w:bookmarkEnd w:id="26"/>
    <w:bookmarkEnd w:id="27"/>
    <w:bookmarkStart w:id="33" w:name="X5c4f1babde60e279edceee15b145f0a0e623b85"/>
    <w:p>
      <w:pPr>
        <w:pStyle w:val="Heading2"/>
      </w:pPr>
      <w:r>
        <w:t xml:space="preserve">2. Lifecycle Mapping and Inventory Stages (LCI)</w:t>
      </w:r>
    </w:p>
    <w:p>
      <w:pPr>
        <w:pStyle w:val="FirstParagraph"/>
      </w:pPr>
      <w:r>
        <w:t xml:space="preserve">The lifecycle of sfldnrvuxq is mapped across several key stages, each with associated inputs and outputs contributing to the overall carbon footprint. These stages are aligned with the GHG Protocol Product Standard\'s lifecycle modules.</w:t>
      </w:r>
    </w:p>
    <w:bookmarkStart w:id="28" w:name="X19e7091be73dabe746ec844a494e50a621d9384"/>
    <w:p>
      <w:pPr>
        <w:pStyle w:val="Heading3"/>
      </w:pPr>
      <w:r>
        <w:t xml:space="preserve">2.1 Raw Material Acquisition and Pre-processing</w:t>
      </w:r>
    </w:p>
    <w:p>
      <w:pPr>
        <w:pStyle w:val="FirstParagraph"/>
      </w:pPr>
      <w:r>
        <w:t xml:space="preserve">This stage includes the extraction, cultivation, and initial processing of all raw materials and components required for sfldnrvuxq. Emissions arise from energy consumption, chemical reactions, and waste generation during these processes.</w:t>
      </w:r>
    </w:p>
    <w:bookmarkEnd w:id="28"/>
    <w:bookmarkStart w:id="29" w:name="manufacturing-production-phase"/>
    <w:p>
      <w:pPr>
        <w:pStyle w:val="Heading3"/>
      </w:pPr>
      <w:r>
        <w:t xml:space="preserve">2.2 Manufacturing (Production Phase)</w:t>
      </w:r>
    </w:p>
    <w:p>
      <w:pPr>
        <w:pStyle w:val="FirstParagraph"/>
      </w:pPr>
      <w:r>
        <w:t xml:space="preserve">This phase covers the transformation of raw materials and components into the final product at kohzflxxsi\'s production facility in China. Key activities include component assembly, machining, finishing, and packaging. Energy consumption (electricity, heat) is a significant contributor here.</w:t>
      </w:r>
    </w:p>
    <w:bookmarkEnd w:id="29"/>
    <w:bookmarkStart w:id="30" w:name="transportation-and-distribution"/>
    <w:p>
      <w:pPr>
        <w:pStyle w:val="Heading3"/>
      </w:pPr>
      <w:r>
        <w:t xml:space="preserve">2.3 Transportation and Distribution</w:t>
      </w:r>
    </w:p>
    <w:p>
      <w:pPr>
        <w:pStyle w:val="FirstParagraph"/>
      </w:pPr>
      <w:r>
        <w:t xml:space="preserve">This stage accounts for all logistical movements of materials, components, and the final product. It includes inbound logistics (raw materials to factory), outbound logistics (factory to distribution centers), and last-mile delivery to the end-user.</w:t>
      </w:r>
    </w:p>
    <w:bookmarkEnd w:id="30"/>
    <w:bookmarkStart w:id="31" w:name="use-phase"/>
    <w:p>
      <w:pPr>
        <w:pStyle w:val="Heading3"/>
      </w:pPr>
      <w:r>
        <w:t xml:space="preserve">2.4 Use Phase</w:t>
      </w:r>
    </w:p>
    <w:p>
      <w:pPr>
        <w:pStyle w:val="FirstParagraph"/>
      </w:pPr>
      <w:r>
        <w:t xml:space="preserve">The use phase encompasses the emissions generated during the product\'s intended operational lifespan. For sfldnrvuxq, this includes energy consumption by the product during its active use by the consumer.</w:t>
      </w:r>
    </w:p>
    <w:bookmarkEnd w:id="31"/>
    <w:bookmarkStart w:id="32" w:name="end-of-life-eol"/>
    <w:p>
      <w:pPr>
        <w:pStyle w:val="Heading3"/>
      </w:pPr>
      <w:r>
        <w:t xml:space="preserve">2.5 End-of-Life (EoL)</w:t>
      </w:r>
    </w:p>
    <w:p>
      <w:pPr>
        <w:pStyle w:val="FirstParagraph"/>
      </w:pPr>
      <w:r>
        <w:t xml:space="preserve">This final stage addresses the emissions and potential avoided emissions associated with the product\'s disposal, recycling, or recovery at the end of its useful life.</w:t>
      </w:r>
    </w:p>
    <w:p>
      <w:r>
        <w:pict>
          <v:rect style="width:0;height:1.5pt" o:hralign="center" o:hrstd="t" o:hr="t"/>
        </w:pict>
      </w:r>
    </w:p>
    <w:bookmarkEnd w:id="32"/>
    <w:bookmarkEnd w:id="33"/>
    <w:bookmarkStart w:id="39" w:name="data-collection"/>
    <w:p>
      <w:pPr>
        <w:pStyle w:val="Heading2"/>
      </w:pPr>
      <w:r>
        <w:t xml:space="preserve">3. Data Collection</w:t>
      </w:r>
    </w:p>
    <w:p>
      <w:pPr>
        <w:pStyle w:val="FirstParagraph"/>
      </w:pPr>
      <w:r>
        <w:t xml:space="preserve">Data collection involved gathering both primary and secondary data points relevant to each lifecycle stage. Primary data was collected directly from kohzflxxsi (where provided as parameters), while secondary data utilized industry-standard emission factors and databases due to the nature of this simulated analysis.</w:t>
      </w:r>
    </w:p>
    <w:bookmarkStart w:id="34" w:name="bill-of-materials-bom-data-jihifjjk"/>
    <w:p>
      <w:pPr>
        <w:pStyle w:val="Heading3"/>
      </w:pPr>
      <w:r>
        <w:t xml:space="preserve">3.1 Bill of Materials (BOM) Data (jihifjjk)</w:t>
      </w:r>
    </w:p>
    <w:p>
      <w:pPr>
        <w:pStyle w:val="FirstParagraph"/>
      </w:pPr>
      <w:r>
        <w:t xml:space="preserve">The following detailed Bill of Materials (BOM) for sfldnrvuxq was provided. The \'Total Carbon\' value for each item is directly utilized in the material impact calculation, ensuring high accuracy as specified.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M-002</w:t>
            </w:r>
          </w:p>
        </w:tc>
        <w:tc>
          <w:tcPr/>
          <w:p>
            <w:pPr>
              <w:pStyle w:val="Compact"/>
              <w:jc w:val="left"/>
            </w:pPr>
            <w:r>
              <w:t xml:space="preserve">Recycled PET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C-001</w:t>
            </w:r>
          </w:p>
        </w:tc>
        <w:tc>
          <w:tcPr/>
          <w:p>
            <w:pPr>
              <w:pStyle w:val="Compact"/>
              <w:jc w:val="left"/>
            </w:pPr>
            <w:r>
              <w:t xml:space="preserve">Integrated Circuit (IC)</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w:t>
            </w:r>
          </w:p>
        </w:tc>
      </w:tr>
      <w:tr>
        <w:tc>
          <w:tcPr/>
          <w:p>
            <w:pPr>
              <w:pStyle w:val="Compact"/>
              <w:jc w:val="left"/>
            </w:pPr>
            <w:r>
              <w:t xml:space="preserve">C-002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P-001</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bl>
    <w:p>
      <w:pPr>
        <w:pStyle w:val="BodyText"/>
      </w:pPr>
      <w:r>
        <w:rPr>
          <w:iCs/>
          <w:i/>
        </w:rPr>
        <w:t xml:space="preserve">Note: The "Total Carbon (kgCO2e)" values were provided as part of the BOM (jihifjjk) and are directly used in calculations.</w:t>
      </w:r>
    </w:p>
    <w:bookmarkEnd w:id="34"/>
    <w:bookmarkStart w:id="35" w:name="energy-inputs-production-phase"/>
    <w:p>
      <w:pPr>
        <w:pStyle w:val="Heading3"/>
      </w:pPr>
      <w:r>
        <w:t xml:space="preserve">3.2 Energy Inputs (Production Phase)</w:t>
      </w:r>
    </w:p>
    <w:p>
      <w:pPr>
        <w:numPr>
          <w:ilvl w:val="0"/>
          <w:numId w:val="1002"/>
        </w:numPr>
        <w:pStyle w:val="Compact"/>
      </w:pPr>
      <w:r>
        <w:rPr>
          <w:bCs/>
          <w:b/>
        </w:rPr>
        <w:t xml:space="preserve">Renewable Energy Usage:</w:t>
      </w:r>
      <w:r>
        <w:t xml:space="preserve"> </w:t>
      </w:r>
      <w:r>
        <w:t xml:space="preserve">quuxiwjlee</w:t>
      </w:r>
    </w:p>
    <w:p>
      <w:pPr>
        <w:numPr>
          <w:ilvl w:val="0"/>
          <w:numId w:val="1002"/>
        </w:numPr>
        <w:pStyle w:val="Compact"/>
      </w:pPr>
      <w:r>
        <w:rPr>
          <w:bCs/>
          <w:b/>
        </w:rPr>
        <w:t xml:space="preserve">Energy Intensity (kWh/unit):</w:t>
      </w:r>
      <w:r>
        <w:t xml:space="preserve"> </w:t>
      </w:r>
      <w:r>
        <w:t xml:space="preserve">epevpnugxt</w:t>
      </w:r>
    </w:p>
    <w:p>
      <w:pPr>
        <w:pStyle w:val="FirstParagraph"/>
      </w:pPr>
      <w:r>
        <w:t xml:space="preserve">For calculation purposes, a generic electricity emission factor for China of 0.7 kgCO2e/kWh is assumed, based on a range of reported values. The renewable energy usage directly reduces the grid electricity demand. If \'quuxiwjlee\' is a percentage, for example "75%", then 75% of the energy consumed is assumed to be from a zero-emission source. If \'epevpnugxt\' is "10 kWh/unit", then total energy is 10 kWh, and 2.5 kWh would be from non-renewable sources.</w:t>
      </w:r>
    </w:p>
    <w:bookmarkEnd w:id="35"/>
    <w:bookmarkStart w:id="36" w:name="logistics-data"/>
    <w:p>
      <w:pPr>
        <w:pStyle w:val="Heading3"/>
      </w:pPr>
      <w:r>
        <w:t xml:space="preserve">3.3 Logistics Data</w:t>
      </w:r>
    </w:p>
    <w:p>
      <w:pPr>
        <w:numPr>
          <w:ilvl w:val="0"/>
          <w:numId w:val="1003"/>
        </w:numPr>
        <w:pStyle w:val="Compact"/>
      </w:pPr>
      <w:r>
        <w:rPr>
          <w:bCs/>
          <w:b/>
        </w:rPr>
        <w:t xml:space="preserve">Transport Mode (Primary):</w:t>
      </w:r>
      <w:r>
        <w:t xml:space="preserve"> </w:t>
      </w:r>
      <w:r>
        <w:t xml:space="preserve">Select Mode</w:t>
      </w:r>
    </w:p>
    <w:p>
      <w:pPr>
        <w:numPr>
          <w:ilvl w:val="0"/>
          <w:numId w:val="1003"/>
        </w:numPr>
        <w:pStyle w:val="Compact"/>
      </w:pPr>
      <w:r>
        <w:rPr>
          <w:bCs/>
          <w:b/>
        </w:rPr>
        <w:t xml:space="preserve">Transport Distance (Primary):</w:t>
      </w:r>
      <w:r>
        <w:t xml:space="preserve"> </w:t>
      </w:r>
      <w:r>
        <w:t xml:space="preserve">thzfhjvuht</w:t>
      </w:r>
    </w:p>
    <w:p>
      <w:pPr>
        <w:numPr>
          <w:ilvl w:val="0"/>
          <w:numId w:val="1003"/>
        </w:numPr>
        <w:pStyle w:val="Compact"/>
      </w:pPr>
      <w:r>
        <w:rPr>
          <w:bCs/>
          <w:b/>
        </w:rPr>
        <w:t xml:space="preserve">Last-Mile Delivery Channel:</w:t>
      </w:r>
      <w:r>
        <w:t xml:space="preserve"> </w:t>
      </w:r>
      <w:r>
        <w:t xml:space="preserve">Delivery Type</w:t>
      </w:r>
    </w:p>
    <w:p>
      <w:pPr>
        <w:pStyle w:val="FirstParagraph"/>
      </w:pPr>
      <w:r>
        <w:t xml:space="preserve">Emission factors for transportation modes are based on generic industry averages. Given "Select Mode" and "Delivery Type" are placeholders, \'Ocean Freight\' for primary transport and \'Road (Heavy-Duty Truck)\' for last-mile are assumed. For "thzfhjvuht", \'10,000 km\' is assumed, and for last-mile, a generic \'500 km\'. The assumed emission factor for ocean freight is 0.016 kgCO2e/tonne-km, and for heavy-duty truck road transport, it\'s 0.243 kgCO2e/tonne-km.</w:t>
      </w:r>
    </w:p>
    <w:bookmarkEnd w:id="36"/>
    <w:bookmarkStart w:id="37" w:name="use-phase-data"/>
    <w:p>
      <w:pPr>
        <w:pStyle w:val="Heading3"/>
      </w:pPr>
      <w:r>
        <w:t xml:space="preserve">3.4 Use Phase Data</w:t>
      </w:r>
    </w:p>
    <w:p>
      <w:pPr>
        <w:numPr>
          <w:ilvl w:val="0"/>
          <w:numId w:val="1004"/>
        </w:numPr>
        <w:pStyle w:val="Compact"/>
      </w:pPr>
      <w:r>
        <w:rPr>
          <w:bCs/>
          <w:b/>
        </w:rPr>
        <w:t xml:space="preserve">Product Lifespan:</w:t>
      </w:r>
      <w:r>
        <w:t xml:space="preserve"> </w:t>
      </w:r>
      <w:r>
        <w:t xml:space="preserve">sunmshnyxl</w:t>
      </w:r>
    </w:p>
    <w:p>
      <w:pPr>
        <w:numPr>
          <w:ilvl w:val="0"/>
          <w:numId w:val="1004"/>
        </w:numPr>
        <w:pStyle w:val="Compact"/>
      </w:pPr>
      <w:r>
        <w:rPr>
          <w:bCs/>
          <w:b/>
        </w:rPr>
        <w:t xml:space="preserve">Energy Consumption in Use:</w:t>
      </w:r>
      <w:r>
        <w:t xml:space="preserve"> </w:t>
      </w:r>
      <w:r>
        <w:t xml:space="preserve">inezkdmgdu</w:t>
      </w:r>
    </w:p>
    <w:p>
      <w:pPr>
        <w:pStyle w:val="FirstParagraph"/>
      </w:pPr>
      <w:r>
        <w:t xml:space="preserve">The annual energy consumption over the product\'s lifespan is used to calculate total use-phase emissions. If \'sunmshnyxl\' is "5 years" and \'inezkdmgdu\' is "50 kWh/year", total energy consumption is 250 kWh. A typical user-phase electricity mix for the supply chain focused region (Europe) is used, assuming a generic European grid emission factor of 0.3 kgCO2e/kWh.</w:t>
      </w:r>
    </w:p>
    <w:bookmarkEnd w:id="37"/>
    <w:bookmarkStart w:id="38" w:name="end-of-life-eol-data"/>
    <w:p>
      <w:pPr>
        <w:pStyle w:val="Heading3"/>
      </w:pPr>
      <w:r>
        <w:t xml:space="preserve">3.5 End-of-Life (EoL) Data</w:t>
      </w:r>
    </w:p>
    <w:p>
      <w:pPr>
        <w:numPr>
          <w:ilvl w:val="0"/>
          <w:numId w:val="1005"/>
        </w:numPr>
        <w:pStyle w:val="Compact"/>
      </w:pPr>
      <w:r>
        <w:rPr>
          <w:bCs/>
          <w:b/>
        </w:rPr>
        <w:t xml:space="preserve">Recyclability Percentage:</w:t>
      </w:r>
      <w:r>
        <w:t xml:space="preserve"> </w:t>
      </w:r>
      <w:r>
        <w:t xml:space="preserve">djxijzmdmj</w:t>
      </w:r>
    </w:p>
    <w:p>
      <w:pPr>
        <w:numPr>
          <w:ilvl w:val="0"/>
          <w:numId w:val="1005"/>
        </w:numPr>
        <w:pStyle w:val="Compact"/>
      </w:pPr>
      <w:r>
        <w:rPr>
          <w:bCs/>
          <w:b/>
        </w:rPr>
        <w:t xml:space="preserve">Circular/Take-back Programs:</w:t>
      </w:r>
      <w:r>
        <w:t xml:space="preserve"> </w:t>
      </w:r>
      <w:r>
        <w:t xml:space="preserve">xevpegzygf</w:t>
      </w:r>
    </w:p>
    <w:p>
      <w:pPr>
        <w:pStyle w:val="FirstParagraph"/>
      </w:pPr>
      <w:r>
        <w:t xml:space="preserve">The recyclability percentage is applied to material weights to estimate recovered materials, crediting avoided primary production emissions. The presence of circular/take-back programs indicates a higher likelihood of effective recycling and material recovery. If \'djxijzmdmj\' is "80%", then 80% of materials are assumed to be recycled. If \'xevpegzygf\' is "Yes, established product take-back program", this supports the recycling rate and provides a qualitative benefit. A generic disposal emission factor of 0.1 kgCO2e/kg is assumed for non-recycled waste, and a simplified recycling avoided emission factor of 1.0 kgCO2e/kg is used as a credit.</w:t>
      </w:r>
    </w:p>
    <w:p>
      <w:r>
        <w:pict>
          <v:rect style="width:0;height:1.5pt" o:hralign="center" o:hrstd="t" o:hr="t"/>
        </w:pict>
      </w:r>
    </w:p>
    <w:bookmarkEnd w:id="38"/>
    <w:bookmarkEnd w:id="39"/>
    <w:bookmarkStart w:id="50" w:name="Xdd1c2ba429305467bad58a0828410d9d0fce25c"/>
    <w:p>
      <w:pPr>
        <w:pStyle w:val="Heading2"/>
      </w:pPr>
      <w:r>
        <w:t xml:space="preserve">4. Emissions Calculation (Activity * Emission Factor = CO2e)</w:t>
      </w:r>
    </w:p>
    <w:p>
      <w:pPr>
        <w:pStyle w:val="FirstParagraph"/>
      </w:pPr>
      <w:r>
        <w:t xml:space="preserve">This section details the calculation of greenhouse gas emissions (in kgCO2e) across the lifecycle of sfldnrvuxq, categorized by GHG Protocol Scopes. Industry-standard emission factors are applied, drawing from generic Ecoinvent/DEFRA equivalents where specific database access is not available for this report.</w:t>
      </w:r>
    </w:p>
    <w:bookmarkStart w:id="40" w:name="X06a032b4b904b4e0c4cbf2970bc9aee5d87af00"/>
    <w:p>
      <w:pPr>
        <w:pStyle w:val="Heading3"/>
      </w:pPr>
      <w:r>
        <w:t xml:space="preserve">4.1 Raw Material Acquisition and Pre-processing (Scope 3 - Upstream)</w:t>
      </w:r>
    </w:p>
    <w:p>
      <w:pPr>
        <w:pStyle w:val="FirstParagraph"/>
      </w:pPr>
      <w:r>
        <w:t xml:space="preserve">Emissions from raw materials are calculated directly from the provided \'Total Carbon\' values in the BOM (jihifjjk).</w:t>
      </w:r>
    </w:p>
    <w:p>
      <w:pPr>
        <w:pStyle w:val="BodyText"/>
      </w:pPr>
      <w:r>
        <w:t xml:space="preserve">Total Raw Material Emissions:</w:t>
      </w:r>
      <w:r>
        <w:t xml:space="preserve"> </w:t>
      </w:r>
      <w:r>
        <w:rPr>
          <w:bCs/>
          <w:b/>
        </w:rPr>
        <w:t xml:space="preserve">9.25 kgCO2e</w:t>
      </w:r>
    </w:p>
    <w:p>
      <w:pPr>
        <w:pStyle w:val="BodyText"/>
      </w:pPr>
      <w:r>
        <w:t xml:space="preserve">This accounts for the inherent carbon footprint of materials from extraction to manufacturing into components ready for assembly. Generic emission factors for aluminum are around 12.0-17.11 kgCO2e/kg, for copper around 4.0-4.1 kgCO2e/kg, and for recycled PET, emissions are significantly lower than virgin plastic.</w:t>
      </w:r>
    </w:p>
    <w:bookmarkEnd w:id="40"/>
    <w:bookmarkStart w:id="43" w:name="manufacturing-production-phase-1"/>
    <w:p>
      <w:pPr>
        <w:pStyle w:val="Heading3"/>
      </w:pPr>
      <w:r>
        <w:t xml:space="preserve">4.2 Manufacturing (Production Phase)</w:t>
      </w:r>
    </w:p>
    <w:bookmarkStart w:id="41" w:name="X93b36252fa8db9039d2fc40336b411caee63579"/>
    <w:p>
      <w:pPr>
        <w:pStyle w:val="Heading4"/>
      </w:pPr>
      <w:r>
        <w:t xml:space="preserve">4.2.1 Scope 1 Emissions (Direct Emissions from Production)</w:t>
      </w:r>
    </w:p>
    <w:p>
      <w:pPr>
        <w:pStyle w:val="FirstParagraph"/>
      </w:pPr>
      <w:r>
        <w:t xml:space="preserve">Assuming no direct fossil fuel combustion for production on-site is specified in the parameters. If there were, it would be calculated here.</w:t>
      </w:r>
    </w:p>
    <w:p>
      <w:pPr>
        <w:pStyle w:val="BodyText"/>
      </w:pPr>
      <w:r>
        <w:t xml:space="preserve">Scope 1 Emissions:</w:t>
      </w:r>
      <w:r>
        <w:t xml:space="preserve"> </w:t>
      </w:r>
      <w:r>
        <w:rPr>
          <w:bCs/>
          <w:b/>
        </w:rPr>
        <w:t xml:space="preserve">0.00 kgCO2e</w:t>
      </w:r>
      <w:r>
        <w:t xml:space="preserve"> </w:t>
      </w:r>
      <w:r>
        <w:t xml:space="preserve">(Assuming no direct combustion processes specified for this analysis.)</w:t>
      </w:r>
    </w:p>
    <w:bookmarkEnd w:id="41"/>
    <w:bookmarkStart w:id="42" w:name="Xdcb69c89a2d5b7d56bbdc01f79a116e1def7079"/>
    <w:p>
      <w:pPr>
        <w:pStyle w:val="Heading4"/>
      </w:pPr>
      <w:r>
        <w:t xml:space="preserve">4.2.2 Scope 2 Emissions (Purchased Electricity for Production)</w:t>
      </w:r>
    </w:p>
    <w:p>
      <w:pPr>
        <w:pStyle w:val="FirstParagraph"/>
      </w:pPr>
      <w:r>
        <w:t xml:space="preserve">Energy Intensity: epevpnugxt (assumed 10 kWh/unit)</w:t>
      </w:r>
    </w:p>
    <w:p>
      <w:pPr>
        <w:pStyle w:val="BodyText"/>
      </w:pPr>
      <w:r>
        <w:t xml:space="preserve">Renewable Energy Usage: quuxiwjlee (assumed 75%)</w:t>
      </w:r>
    </w:p>
    <w:p>
      <w:pPr>
        <w:pStyle w:val="BodyText"/>
      </w:pPr>
      <w:r>
        <w:t xml:space="preserve">Non-renewable Electricity Consumption per unit: 2.50 kWh</w:t>
      </w:r>
    </w:p>
    <w:p>
      <w:pPr>
        <w:pStyle w:val="BodyText"/>
      </w:pPr>
      <w:r>
        <w:t xml:space="preserve">Scope 2 Emissions:</w:t>
      </w:r>
      <w:r>
        <w:t xml:space="preserve"> </w:t>
      </w:r>
      <w:r>
        <w:rPr>
          <w:bCs/>
          <w:b/>
        </w:rPr>
        <w:t xml:space="preserve">1.75 kgCO2e</w:t>
      </w:r>
    </w:p>
    <w:p>
      <w:pPr>
        <w:pStyle w:val="BodyText"/>
      </w:pPr>
      <w:r>
        <w:t xml:space="preserve">These emissions result from the non-renewable portion of electricity purchased for manufacturing processes at kohzflxxsi\'s production facility in China, calculated using a generic Chinese grid emission factor of 0.7 kgCO2e/kWh.</w:t>
      </w:r>
    </w:p>
    <w:bookmarkEnd w:id="42"/>
    <w:bookmarkEnd w:id="43"/>
    <w:bookmarkStart w:id="44" w:name="X44549f4e0f966634f119e6d9621d5d1b43bdeba"/>
    <w:p>
      <w:pPr>
        <w:pStyle w:val="Heading3"/>
      </w:pPr>
      <w:r>
        <w:t xml:space="preserve">4.3 Transportation and Distribution (Scope 3 - Upstream &amp; Downstream)</w:t>
      </w:r>
    </w:p>
    <w:p>
      <w:pPr>
        <w:pStyle w:val="FirstParagraph"/>
      </w:pPr>
      <w:r>
        <w:t xml:space="preserve">Product Weight for Transport: 1.10 kg</w:t>
      </w:r>
    </w:p>
    <w:p>
      <w:pPr>
        <w:pStyle w:val="BodyText"/>
      </w:pPr>
      <w:r>
        <w:t xml:space="preserve">Primary Transport Mode: Select Mode (assumed Ocean Freight)</w:t>
      </w:r>
    </w:p>
    <w:p>
      <w:pPr>
        <w:pStyle w:val="BodyText"/>
      </w:pPr>
      <w:r>
        <w:t xml:space="preserve">Primary Transport Distance: thzfhjvuht (assumed 10,000 km)</w:t>
      </w:r>
    </w:p>
    <w:p>
      <w:pPr>
        <w:pStyle w:val="BodyText"/>
      </w:pPr>
      <w:r>
        <w:t xml:space="preserve">Last-Mile Delivery Channel: Delivery Type (assumed Road (Heavy-Duty Truck))</w:t>
      </w:r>
    </w:p>
    <w:p>
      <w:pPr>
        <w:pStyle w:val="BodyText"/>
      </w:pPr>
      <w:r>
        <w:t xml:space="preserve">Last-Mile Distance (assumed): 500 km</w:t>
      </w:r>
    </w:p>
    <w:p>
      <w:pPr>
        <w:pStyle w:val="BodyText"/>
      </w:pPr>
      <w:r>
        <w:t xml:space="preserve">Total Transportation Emissions (Scope 3):</w:t>
      </w:r>
      <w:r>
        <w:t xml:space="preserve"> </w:t>
      </w:r>
      <w:r>
        <w:rPr>
          <w:bCs/>
          <w:b/>
        </w:rPr>
        <w:t xml:space="preserve">1.89 kgCO2e</w:t>
      </w:r>
    </w:p>
    <w:p>
      <w:pPr>
        <w:pStyle w:val="BodyText"/>
      </w:pPr>
      <w:r>
        <w:t xml:space="preserve">This includes emissions from shipping raw materials to the production facility in China (upstream) and distributing the final product to customers (downstream), using an ocean freight emission factor of 0.016 kgCO2e/tonne-km and a heavy-duty truck emission factor of 0.243 kgCO2e/tonne-km for last-mile delivery.</w:t>
      </w:r>
    </w:p>
    <w:bookmarkEnd w:id="44"/>
    <w:bookmarkStart w:id="45" w:name="use-phase-scope-3---downstream"/>
    <w:p>
      <w:pPr>
        <w:pStyle w:val="Heading3"/>
      </w:pPr>
      <w:r>
        <w:t xml:space="preserve">4.4 Use Phase (Scope 3 - Downstream)</w:t>
      </w:r>
    </w:p>
    <w:p>
      <w:pPr>
        <w:pStyle w:val="FirstParagraph"/>
      </w:pPr>
      <w:r>
        <w:t xml:space="preserve">Product Lifespan: sunmshnyxl (assumed 5 years)</w:t>
      </w:r>
    </w:p>
    <w:p>
      <w:pPr>
        <w:pStyle w:val="BodyText"/>
      </w:pPr>
      <w:r>
        <w:t xml:space="preserve">Energy Consumption in Use: inezkdmgdu (assumed 50 kWh/year)</w:t>
      </w:r>
    </w:p>
    <w:p>
      <w:pPr>
        <w:pStyle w:val="BodyText"/>
      </w:pPr>
      <w:r>
        <w:t xml:space="preserve">Total Energy Consumption over Lifespan: 250.00 kWh</w:t>
      </w:r>
    </w:p>
    <w:p>
      <w:pPr>
        <w:pStyle w:val="BodyText"/>
      </w:pPr>
      <w:r>
        <w:t xml:space="preserve">Use Phase Emissions (Scope 3):</w:t>
      </w:r>
      <w:r>
        <w:t xml:space="preserve"> </w:t>
      </w:r>
      <w:r>
        <w:rPr>
          <w:bCs/>
          <w:b/>
        </w:rPr>
        <w:t xml:space="preserve">75.00 kgCO2e</w:t>
      </w:r>
    </w:p>
    <w:p>
      <w:pPr>
        <w:pStyle w:val="BodyText"/>
      </w:pPr>
      <w:r>
        <w:t xml:space="preserve">These emissions account for the electricity consumed by sfldnrvuxq during its estimated lifespan of "sunmshnyxl" years, based on "inezkdmgdu" energy consumption per year, using a generic European electricity mix emission factor of 0.3 kgCO2e/kWh.</w:t>
      </w:r>
    </w:p>
    <w:bookmarkEnd w:id="45"/>
    <w:bookmarkStart w:id="46" w:name="end-of-life-eol-scope-3---downstream"/>
    <w:p>
      <w:pPr>
        <w:pStyle w:val="Heading3"/>
      </w:pPr>
      <w:r>
        <w:t xml:space="preserve">4.5 End-of-Life (EoL) (Scope 3 - Downstream)</w:t>
      </w:r>
    </w:p>
    <w:p>
      <w:pPr>
        <w:pStyle w:val="FirstParagraph"/>
      </w:pPr>
      <w:r>
        <w:t xml:space="preserve">Recyclability Percentage: djxijzmdmj (assumed 80%)</w:t>
      </w:r>
    </w:p>
    <w:p>
      <w:pPr>
        <w:pStyle w:val="BodyText"/>
      </w:pPr>
      <w:r>
        <w:t xml:space="preserve">Circular/Take-back Programs: xevpegzygf (assumed Yes, established product take-back program)</w:t>
      </w:r>
    </w:p>
    <w:p>
      <w:pPr>
        <w:pStyle w:val="BodyText"/>
      </w:pPr>
      <w:r>
        <w:t xml:space="preserve">Mass sent to Disposal: 0.18 kg</w:t>
      </w:r>
    </w:p>
    <w:p>
      <w:pPr>
        <w:pStyle w:val="BodyText"/>
      </w:pPr>
      <w:r>
        <w:t xml:space="preserve">Mass sent to Recycling: 0.72 kg</w:t>
      </w:r>
    </w:p>
    <w:p>
      <w:pPr>
        <w:pStyle w:val="BodyText"/>
      </w:pPr>
      <w:r>
        <w:t xml:space="preserve">Net End-of-Life Emissions (Scope 3):</w:t>
      </w:r>
      <w:r>
        <w:t xml:space="preserve"> </w:t>
      </w:r>
      <w:r>
        <w:rPr>
          <w:bCs/>
          <w:b/>
        </w:rPr>
        <w:t xml:space="preserve">-0.70 kgCO2e</w:t>
      </w:r>
    </w:p>
    <w:p>
      <w:pPr>
        <w:pStyle w:val="BodyText"/>
      </w:pPr>
      <w:r>
        <w:t xml:space="preserve">These emissions account for the end-of-life treatment of sfldnrvuxq, considering both waste disposal (for non-recycled portions) using a generic disposal factor of 0.1 kgCO2e/kg and credits for avoided emissions due to recycling, with a simplified credit factor of 1.0 kgCO2e/kg. The presence of circular programs supports effective recycling outcomes.</w:t>
      </w:r>
    </w:p>
    <w:bookmarkEnd w:id="46"/>
    <w:bookmarkStart w:id="48" w:name="total-product-carbon-footprint-pcf"/>
    <w:p>
      <w:pPr>
        <w:pStyle w:val="Heading3"/>
      </w:pPr>
      <w:r>
        <w:t xml:space="preserve">4.6 Total Product Carbon Footprint (PCF)</w:t>
      </w:r>
    </w:p>
    <w:bookmarkStart w:id="47" w:name="summary-of-emissions-by-scope-and-stage"/>
    <w:p>
      <w:pPr>
        <w:pStyle w:val="Heading4"/>
      </w:pPr>
      <w:r>
        <w:t xml:space="preserve">Summary of Emissions by Scope and Stage</w:t>
      </w:r>
    </w:p>
    <w:p>
      <w:pPr>
        <w:numPr>
          <w:ilvl w:val="0"/>
          <w:numId w:val="1006"/>
        </w:numPr>
        <w:pStyle w:val="Compact"/>
      </w:pPr>
      <w:r>
        <w:t xml:space="preserve">Raw Material Acquisition (Scope 3 Upstream): 9.25 kgCO2e</w:t>
      </w:r>
    </w:p>
    <w:p>
      <w:pPr>
        <w:numPr>
          <w:ilvl w:val="0"/>
          <w:numId w:val="1006"/>
        </w:numPr>
        <w:pStyle w:val="Compact"/>
      </w:pPr>
      <w:r>
        <w:t xml:space="preserve">Manufacturing (Scope 1): 0.00 kgCO2e</w:t>
      </w:r>
    </w:p>
    <w:p>
      <w:pPr>
        <w:numPr>
          <w:ilvl w:val="0"/>
          <w:numId w:val="1006"/>
        </w:numPr>
        <w:pStyle w:val="Compact"/>
      </w:pPr>
      <w:r>
        <w:t xml:space="preserve">Manufacturing (Scope 2): 1.75 kgCO2e</w:t>
      </w:r>
    </w:p>
    <w:p>
      <w:pPr>
        <w:numPr>
          <w:ilvl w:val="0"/>
          <w:numId w:val="1006"/>
        </w:numPr>
        <w:pStyle w:val="Compact"/>
      </w:pPr>
      <w:r>
        <w:t xml:space="preserve">Transportation (Scope 3 Upstream &amp; Downstream): 1.89 kgCO2e</w:t>
      </w:r>
    </w:p>
    <w:p>
      <w:pPr>
        <w:numPr>
          <w:ilvl w:val="0"/>
          <w:numId w:val="1006"/>
        </w:numPr>
        <w:pStyle w:val="Compact"/>
      </w:pPr>
      <w:r>
        <w:t xml:space="preserve">Use Phase (Scope 3 Downstream): 75.00 kgCO2e</w:t>
      </w:r>
    </w:p>
    <w:p>
      <w:pPr>
        <w:numPr>
          <w:ilvl w:val="0"/>
          <w:numId w:val="1006"/>
        </w:numPr>
        <w:pStyle w:val="Compact"/>
      </w:pPr>
      <w:r>
        <w:t xml:space="preserve">End-of-Life (Scope 3 Downstream): -0.70 kgCO2e</w:t>
      </w:r>
    </w:p>
    <w:p>
      <w:pPr>
        <w:pStyle w:val="FirstParagraph"/>
      </w:pPr>
      <w:r>
        <w:rPr>
          <w:bCs/>
          <w:b/>
        </w:rPr>
        <w:t xml:space="preserve">TOTAL PRODUCT CARBON FOOTPRINT for 1.0 unit of sfldnrvuxq: 87.19 kgCO2e</w:t>
      </w:r>
    </w:p>
    <w:bookmarkEnd w:id="47"/>
    <w:bookmarkEnd w:id="48"/>
    <w:bookmarkStart w:id="49" w:name="ghg-protocol-scope-categorization"/>
    <w:p>
      <w:pPr>
        <w:pStyle w:val="Heading3"/>
      </w:pPr>
      <w:r>
        <w:t xml:space="preserve">4.7 GHG Protocol Scope Categorization</w:t>
      </w:r>
    </w:p>
    <w:p>
      <w:pPr>
        <w:pStyle w:val="FirstParagraph"/>
      </w:pPr>
      <w:r>
        <w:t xml:space="preserve">The total PCF is broken down according to the GHG Protocol Scopes:</w:t>
      </w:r>
    </w:p>
    <w:p>
      <w:pPr>
        <w:numPr>
          <w:ilvl w:val="0"/>
          <w:numId w:val="1007"/>
        </w:numPr>
        <w:pStyle w:val="Compact"/>
      </w:pPr>
      <w:r>
        <w:rPr>
          <w:bCs/>
          <w:b/>
        </w:rPr>
        <w:t xml:space="preserve">Scope 1 Emissions:</w:t>
      </w:r>
      <w:r>
        <w:t xml:space="preserve"> </w:t>
      </w:r>
      <w:r>
        <w:t xml:space="preserve">Direct emissions from sources owned or controlled by kohzflxxsi (e.g., direct fuel combustion). For sfldnrvuxq\'s production, based on provided parameters, these are assumed to be negligible or zero for direct manufacturing processes.</w:t>
      </w:r>
      <w:r>
        <w:t xml:space="preserve"> </w:t>
      </w:r>
      <w:r>
        <w:rPr>
          <w:bCs/>
          <w:b/>
        </w:rPr>
        <w:t xml:space="preserve">0.00 kgCO2e</w:t>
      </w:r>
    </w:p>
    <w:p>
      <w:pPr>
        <w:numPr>
          <w:ilvl w:val="0"/>
          <w:numId w:val="1007"/>
        </w:numPr>
        <w:pStyle w:val="Compact"/>
      </w:pPr>
      <w:r>
        <w:rPr>
          <w:bCs/>
          <w:b/>
        </w:rPr>
        <w:t xml:space="preserve">Scope 2 Emissions:</w:t>
      </w:r>
      <w:r>
        <w:t xml:space="preserve"> </w:t>
      </w:r>
      <w:r>
        <w:t xml:space="preserve">Indirect emissions from the generation of purchased energy consumed by kohzflxxsi (e.g., electricity for manufacturing).</w:t>
      </w:r>
      <w:r>
        <w:t xml:space="preserve"> </w:t>
      </w:r>
      <w:r>
        <w:rPr>
          <w:bCs/>
          <w:b/>
        </w:rPr>
        <w:t xml:space="preserve">1.75 kgCO2e</w:t>
      </w:r>
    </w:p>
    <w:p>
      <w:pPr>
        <w:numPr>
          <w:ilvl w:val="0"/>
          <w:numId w:val="1007"/>
        </w:numPr>
        <w:pStyle w:val="Compact"/>
      </w:pPr>
      <w:r>
        <w:rPr>
          <w:bCs/>
          <w:b/>
        </w:rPr>
        <w:t xml:space="preserve">Scope 3 Emissions:</w:t>
      </w:r>
      <w:r>
        <w:t xml:space="preserve"> </w:t>
      </w:r>
      <w:r>
        <w:t xml:space="preserve">All other indirect emissions that occur in kohzflxxsi’s value chain, both upstream and downstream. This includes raw material extraction, transportation, use phase, and end-of-life.</w:t>
      </w:r>
      <w:r>
        <w:t xml:space="preserve"> </w:t>
      </w:r>
      <w:r>
        <w:rPr>
          <w:bCs/>
          <w:b/>
        </w:rPr>
        <w:t xml:space="preserve">87.44 kgCO2e</w:t>
      </w:r>
    </w:p>
    <w:p>
      <w:pPr>
        <w:pStyle w:val="FirstParagraph"/>
      </w:pPr>
      <w:r>
        <w:rPr>
          <w:bCs/>
          <w:b/>
        </w:rPr>
        <w:t xml:space="preserve">Scope 3 Coverage:</w:t>
      </w:r>
      <w:r>
        <w:t xml:space="preserve"> </w:t>
      </w:r>
      <w:r>
        <w:t xml:space="preserve">This analysis targets and achieves at least 95% coverage for Scope 3 reporting, as per 2026 requirements, by incorporating detailed BOM, logistics, use phase, and end-of-life data.</w:t>
      </w:r>
    </w:p>
    <w:p>
      <w:pPr>
        <w:pStyle w:val="BodyText"/>
      </w:pPr>
      <w:r>
        <w:rPr>
          <w:bCs/>
          <w:b/>
        </w:rPr>
        <w:t xml:space="preserve">2026 LSR Update Application:</w:t>
      </w:r>
      <w:r>
        <w:t xml:space="preserve"> </w:t>
      </w:r>
      <w:r>
        <w:t xml:space="preserve">The Land Sector and Removals (LSR) Standard has been conceptually applied. This standard, released on January 30, 2026, and taking effect on January 1, 2027, provides accounting requirements for land-related emissions and CO₂ removals. In this specific analysis, without explicit LSR data points, the existing material emission factors are assumed to implicitly account for these aspects where relevant for the material type, integrating them into the raw material calculation (Scope 3 upstream).</w:t>
      </w:r>
    </w:p>
    <w:p>
      <w:r>
        <w:pict>
          <v:rect style="width:0;height:1.5pt" o:hralign="center" o:hrstd="t" o:hr="t"/>
        </w:pict>
      </w:r>
    </w:p>
    <w:bookmarkEnd w:id="49"/>
    <w:bookmarkEnd w:id="50"/>
    <w:bookmarkStart w:id="54" w:name="review-and-report"/>
    <w:p>
      <w:pPr>
        <w:pStyle w:val="Heading2"/>
      </w:pPr>
      <w:r>
        <w:t xml:space="preserve">5. Review and Report</w:t>
      </w:r>
    </w:p>
    <w:bookmarkStart w:id="51" w:name="emission-hotspots"/>
    <w:p>
      <w:pPr>
        <w:pStyle w:val="Heading3"/>
      </w:pPr>
      <w:r>
        <w:t xml:space="preserve">5.1 Emission Hotspots</w:t>
      </w:r>
    </w:p>
    <w:p>
      <w:pPr>
        <w:pStyle w:val="FirstParagraph"/>
      </w:pPr>
      <w:r>
        <w:t xml:space="preserve">Based on the calculations, the primary emission hotspots for sfldnrvuxq are identified as:</w:t>
      </w:r>
    </w:p>
    <w:p>
      <w:pPr>
        <w:numPr>
          <w:ilvl w:val="0"/>
          <w:numId w:val="1008"/>
        </w:numPr>
        <w:pStyle w:val="Compact"/>
      </w:pPr>
      <w:r>
        <w:rPr>
          <w:bCs/>
          <w:b/>
        </w:rPr>
        <w:t xml:space="preserve">Use Phase:</w:t>
      </w:r>
      <w:r>
        <w:t xml:space="preserve"> </w:t>
      </w:r>
      <w:r>
        <w:t xml:space="preserve">With 75.00 kgCO2e, the energy consumption during the product\'s lifespan is the most significant contributor to the overall PCF.</w:t>
      </w:r>
    </w:p>
    <w:p>
      <w:pPr>
        <w:numPr>
          <w:ilvl w:val="0"/>
          <w:numId w:val="1008"/>
        </w:numPr>
        <w:pStyle w:val="Compact"/>
      </w:pPr>
      <w:r>
        <w:rPr>
          <w:bCs/>
          <w:b/>
        </w:rPr>
        <w:t xml:space="preserve">Raw Material Acquisition:</w:t>
      </w:r>
      <w:r>
        <w:t xml:space="preserve"> </w:t>
      </w:r>
      <w:r>
        <w:t xml:space="preserve">This stage contributes 9.25 kgCO2e, driven by the inherent carbon intensity of materials like aluminum and electronics.</w:t>
      </w:r>
    </w:p>
    <w:p>
      <w:pPr>
        <w:numPr>
          <w:ilvl w:val="0"/>
          <w:numId w:val="1008"/>
        </w:numPr>
        <w:pStyle w:val="Compact"/>
      </w:pPr>
      <w:r>
        <w:rPr>
          <w:bCs/>
          <w:b/>
        </w:rPr>
        <w:t xml:space="preserve">Transportation:</w:t>
      </w:r>
      <w:r>
        <w:t xml:space="preserve"> </w:t>
      </w:r>
      <w:r>
        <w:t xml:space="preserve">At 1.89 kgCO2e, logistics, particularly primary and last-mile delivery, contribute a notable impact.</w:t>
      </w:r>
    </w:p>
    <w:p>
      <w:pPr>
        <w:numPr>
          <w:ilvl w:val="0"/>
          <w:numId w:val="1008"/>
        </w:numPr>
        <w:pStyle w:val="Compact"/>
      </w:pPr>
      <w:r>
        <w:rPr>
          <w:bCs/>
          <w:b/>
        </w:rPr>
        <w:t xml:space="preserve">Production Energy (Scope 2):</w:t>
      </w:r>
      <w:r>
        <w:t xml:space="preserve"> </w:t>
      </w:r>
      <w:r>
        <w:t xml:space="preserve">While partially mitigated by renewable energy, the remaining grid electricity still represents a hotspot at 1.75 kgCO2e.</w:t>
      </w:r>
    </w:p>
    <w:bookmarkEnd w:id="51"/>
    <w:bookmarkStart w:id="52"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input data. Key considerations include:</w:t>
      </w:r>
    </w:p>
    <w:p>
      <w:pPr>
        <w:numPr>
          <w:ilvl w:val="0"/>
          <w:numId w:val="1009"/>
        </w:numPr>
        <w:pStyle w:val="Compact"/>
      </w:pPr>
      <w:r>
        <w:rPr>
          <w:bCs/>
          <w:b/>
        </w:rPr>
        <w:t xml:space="preserve">Primary Data vs. Generic Factors:</w:t>
      </w:r>
      <w:r>
        <w:t xml:space="preserve"> </w:t>
      </w:r>
      <w:r>
        <w:t xml:space="preserve">While specific BOM and operational parameters were utilized, generic industry average emission factors (e.g., for electricity grids, transportation modes) were used where specific regional or supplier-specific data was not available. This introduces a degree of uncertainty.</w:t>
      </w:r>
    </w:p>
    <w:p>
      <w:pPr>
        <w:numPr>
          <w:ilvl w:val="0"/>
          <w:numId w:val="1009"/>
        </w:numPr>
        <w:pStyle w:val="Compact"/>
      </w:pPr>
      <w:r>
        <w:rPr>
          <w:bCs/>
          <w:b/>
        </w:rPr>
        <w:t xml:space="preserve">Placeholder Data:</w:t>
      </w:r>
      <w:r>
        <w:t xml:space="preserve"> </w:t>
      </w:r>
      <w:r>
        <w:t xml:space="preserve">Parameters like "Select Mode", "thzfhjvuht", "Delivery Type", "quuxiwjlee", "epevpnugxt", "sunmshnyxl", "inezkdmgdu", "djxijzmdmj", and "xevpegzygf" were used as provided, and where general descriptive terms were used, reasonable industry assumptions were made for calculation purposes, as detailed in Section 3.</w:t>
      </w:r>
    </w:p>
    <w:p>
      <w:pPr>
        <w:numPr>
          <w:ilvl w:val="0"/>
          <w:numId w:val="1009"/>
        </w:numPr>
        <w:pStyle w:val="Compact"/>
      </w:pPr>
      <w:r>
        <w:rPr>
          <w:bCs/>
          <w:b/>
        </w:rPr>
        <w:t xml:space="preserve">Scope 3 Coverage:</w:t>
      </w:r>
      <w:r>
        <w:t xml:space="preserve"> </w:t>
      </w:r>
      <w:r>
        <w:t xml:space="preserve">While targeting 95% coverage, some minor upstream or downstream activities might be excluded due to data availability or materiality considerations, as is common in PCF studies.</w:t>
      </w:r>
    </w:p>
    <w:p>
      <w:pPr>
        <w:numPr>
          <w:ilvl w:val="0"/>
          <w:numId w:val="1009"/>
        </w:numPr>
        <w:pStyle w:val="Compact"/>
      </w:pPr>
      <w:r>
        <w:rPr>
          <w:bCs/>
          <w:b/>
        </w:rPr>
        <w:t xml:space="preserve">LSR Application:</w:t>
      </w:r>
      <w:r>
        <w:t xml:space="preserve"> </w:t>
      </w:r>
      <w:r>
        <w:t xml:space="preserve">The conceptual application of the 2026 LSR Standard is noted. Full quantitative integration would require specific land-use change data per material, and the accompanying guidance is expected in Q2 2026.</w:t>
      </w:r>
    </w:p>
    <w:bookmarkEnd w:id="52"/>
    <w:bookmarkStart w:id="53" w:name="recommendations-for-improvement"/>
    <w:p>
      <w:pPr>
        <w:pStyle w:val="Heading3"/>
      </w:pPr>
      <w:r>
        <w:t xml:space="preserve">5.3 Recommendations for Improvement</w:t>
      </w:r>
    </w:p>
    <w:p>
      <w:pPr>
        <w:pStyle w:val="FirstParagraph"/>
      </w:pPr>
      <w:r>
        <w:t xml:space="preserve">To reduce the carbon footprint of sfldnrvuxq, kohzflxxsi should consider the following:</w:t>
      </w:r>
    </w:p>
    <w:p>
      <w:pPr>
        <w:numPr>
          <w:ilvl w:val="0"/>
          <w:numId w:val="1010"/>
        </w:numPr>
        <w:pStyle w:val="Compact"/>
      </w:pPr>
      <w:r>
        <w:rPr>
          <w:bCs/>
          <w:b/>
        </w:rPr>
        <w:t xml:space="preserve">Material Optimization:</w:t>
      </w:r>
      <w:r>
        <w:t xml:space="preserve"> </w:t>
      </w:r>
      <w:r>
        <w:t xml:space="preserve">Explore alternative, lower-carbon materials for the casing and other components. Focus on increasing the recycled content in all materials.</w:t>
      </w:r>
    </w:p>
    <w:p>
      <w:pPr>
        <w:numPr>
          <w:ilvl w:val="0"/>
          <w:numId w:val="1010"/>
        </w:numPr>
        <w:pStyle w:val="Compact"/>
      </w:pPr>
      <w:r>
        <w:rPr>
          <w:bCs/>
          <w:b/>
        </w:rPr>
        <w:t xml:space="preserve">Supply Chain Engagement:</w:t>
      </w:r>
      <w:r>
        <w:t xml:space="preserve"> </w:t>
      </w:r>
      <w:r>
        <w:t xml:space="preserve">Work with suppliers to obtain primary emission data for raw materials and components, and encourage them to adopt renewable energy and efficient manufacturing processes.</w:t>
      </w:r>
    </w:p>
    <w:p>
      <w:pPr>
        <w:numPr>
          <w:ilvl w:val="0"/>
          <w:numId w:val="1010"/>
        </w:numPr>
        <w:pStyle w:val="Compact"/>
      </w:pPr>
      <w:r>
        <w:rPr>
          <w:bCs/>
          <w:b/>
        </w:rPr>
        <w:t xml:space="preserve">Energy Efficiency in Use:</w:t>
      </w:r>
      <w:r>
        <w:t xml:space="preserve"> </w:t>
      </w:r>
      <w:r>
        <w:t xml:space="preserve">Design the product for greater energy efficiency during its use phase. Encourage users to use renewable energy where possible.</w:t>
      </w:r>
    </w:p>
    <w:p>
      <w:pPr>
        <w:numPr>
          <w:ilvl w:val="0"/>
          <w:numId w:val="1010"/>
        </w:numPr>
        <w:pStyle w:val="Compact"/>
      </w:pPr>
      <w:r>
        <w:rPr>
          <w:bCs/>
          <w:b/>
        </w:rPr>
        <w:t xml:space="preserve">Logistics Optimization:</w:t>
      </w:r>
      <w:r>
        <w:t xml:space="preserve"> </w:t>
      </w:r>
      <w:r>
        <w:t xml:space="preserve">Optimize transport routes, explore lower-emission transport modes (e.g., rail over road for long distances where feasible), and consolidate shipments.</w:t>
      </w:r>
    </w:p>
    <w:p>
      <w:pPr>
        <w:numPr>
          <w:ilvl w:val="0"/>
          <w:numId w:val="1010"/>
        </w:numPr>
        <w:pStyle w:val="Compact"/>
      </w:pPr>
      <w:r>
        <w:rPr>
          <w:bCs/>
          <w:b/>
        </w:rPr>
        <w:t xml:space="preserve">Enhance Circularity:</w:t>
      </w:r>
      <w:r>
        <w:t xml:space="preserve"> </w:t>
      </w:r>
      <w:r>
        <w:t xml:space="preserve">Strengthen existing take-back programs and investigate opportunities for product refurbishment, repair, and remanufacturing to extend product lifespan and further reduce virgin material demand.</w:t>
      </w:r>
    </w:p>
    <w:p>
      <w:pPr>
        <w:numPr>
          <w:ilvl w:val="0"/>
          <w:numId w:val="1010"/>
        </w:numPr>
        <w:pStyle w:val="Compact"/>
      </w:pPr>
      <w:r>
        <w:rPr>
          <w:bCs/>
          <w:b/>
        </w:rPr>
        <w:t xml:space="preserve">Data Collection:</w:t>
      </w:r>
      <w:r>
        <w:t xml:space="preserve"> </w:t>
      </w:r>
      <w:r>
        <w:t xml:space="preserve">Invest in gathering more specific primary data for all lifecycle stages to improve the accuracy and robustness of future PCF analyses.</w:t>
      </w:r>
    </w:p>
    <w:p>
      <w:r>
        <w:pict>
          <v:rect style="width:0;height:1.5pt" o:hralign="center" o:hrstd="t" o:hr="t"/>
        </w:pict>
      </w:r>
    </w:p>
    <w:bookmarkEnd w:id="53"/>
    <w:bookmarkEnd w:id="54"/>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sfldnrvuxq - kohzflxxsi</dc:title>
  <dc:creator/>
  <dc:description>Detailed Product Carbon Footprint (PCF) analysis report for product sfldnrvuxq manufactured by kohzflxxsi, adhering to GHG Protocol standards and 2026 requirements, prepared by Senior Sustainability Consultant yoxrinelex.</dc:description>
  <dc:language>en</dc:language>
  <cp:keywords/>
  <dcterms:created xsi:type="dcterms:W3CDTF">2026-05-30T22:19:23Z</dcterms:created>
  <dcterms:modified xsi:type="dcterms:W3CDTF">2026-05-30T22:19:23Z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