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seosekifdg</w:t>
      </w:r>
      <w:r>
        <w:t xml:space="preserve"> </w:t>
      </w:r>
      <w:r>
        <w:t xml:space="preserve">-</w:t>
      </w:r>
      <w:r>
        <w:t xml:space="preserve"> </w:t>
      </w:r>
      <w:r>
        <w:t xml:space="preserve">drwpywwgli</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seosekifdg</w:t>
      </w:r>
    </w:p>
    <w:p>
      <w:pPr>
        <w:pStyle w:val="BodyText"/>
      </w:pPr>
      <w:r>
        <w:t xml:space="preserve">Company: drwpywwgli</w:t>
      </w:r>
    </w:p>
    <w:p>
      <w:pPr>
        <w:pStyle w:val="BodyText"/>
      </w:pPr>
      <w:r>
        <w:t xml:space="preserve">Accounting Standard: GHG Protocol</w:t>
      </w:r>
    </w:p>
    <w:p>
      <w:pPr>
        <w:pStyle w:val="BodyText"/>
      </w:pPr>
      <w:r>
        <w:t xml:space="preserve">Senior Sustainability Consultant: zsfngmpdyi</w:t>
      </w:r>
    </w:p>
    <w:p>
      <w:pPr>
        <w:pStyle w:val="BodyText"/>
      </w:pPr>
      <w:r>
        <w:t xml:space="preserve">Disclaimer: This report is generated based on available data and industry standards. While efforts have been made to ensure accuracy, actual emissions may vary based on specific operational details and evolving data. The provided parameters (e.g., BOM, transport, energy) were treated as illustrative strings and assigned typical values for calculation purposes where specific numerical data was not provided beyond the string itself.</w:t>
      </w:r>
    </w:p>
    <w:bookmarkEnd w:id="20"/>
    <w:bookmarkStart w:id="21" w:name="Xa87d010c1fd868336511b306fbd202996615f12"/>
    <w:p>
      <w:pPr>
        <w:pStyle w:val="Heading1"/>
      </w:pPr>
      <w:r>
        <w:t xml:space="preserve">Product Carbon Footprint Analysis Report</w:t>
      </w:r>
    </w:p>
    <w:p>
      <w:pPr>
        <w:pStyle w:val="FirstParagraph"/>
      </w:pPr>
      <w:r>
        <w:t xml:space="preserve">Generated Date: June 1,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seosekifdg</w:t>
      </w:r>
      <w:r>
        <w:t xml:space="preserve">, manufactured by</w:t>
      </w:r>
      <w:r>
        <w:t xml:space="preserve"> </w:t>
      </w:r>
      <w:r>
        <w:rPr>
          <w:bCs/>
          <w:b/>
        </w:rPr>
        <w:t xml:space="preserve">drwpywwgli</w:t>
      </w:r>
      <w:r>
        <w:t xml:space="preserve">. As Senior Sustainability Consultant</w:t>
      </w:r>
      <w:r>
        <w:t xml:space="preserve"> </w:t>
      </w:r>
      <w:r>
        <w:rPr>
          <w:bCs/>
          <w:b/>
        </w:rPr>
        <w:t xml:space="preserve">zsfngmpdyi</w:t>
      </w:r>
      <w:r>
        <w:t xml:space="preserve">, I have conducted this analysis following the Greenhouse Gas (GHG) Protocol standards, incorporating the latest 2026 revisions for Land Sector and Removals (LSR) and enhanced Scope 3 compliance. The analysis covers the lifecycle from \'cradle-to-factory gate\' with expanded considerations for the use and end-of-life phases, providing a comprehensive view of the product\'s environmental impact in terms of CO2e emissions.</w:t>
      </w:r>
    </w:p>
    <w:p>
      <w:pPr>
        <w:pStyle w:val="BodyText"/>
      </w:pPr>
      <w:r>
        <w:t xml:space="preserve">Key findings highlight the emission hotspots across the product\'s lifecycle, from raw material extraction and processing to manufacturing, transportation, consumer use, and end-of-life treatment. The report also addresses the integration of renewable energy usage, product lifespan, recyclability, and circular economy initiatives as specified in the parameters.</w:t>
      </w:r>
    </w:p>
    <w:p>
      <w:r>
        <w:pict>
          <v:rect style="width:0;height:1.5pt" o:hralign="center" o:hrstd="t" o:hr="t"/>
        </w:pict>
      </w:r>
    </w:p>
    <w:bookmarkEnd w:id="22"/>
    <w:bookmarkStart w:id="27" w:name="introduction"/>
    <w:p>
      <w:pPr>
        <w:pStyle w:val="Heading2"/>
      </w:pPr>
      <w:r>
        <w:t xml:space="preserve">1. Introduction</w:t>
      </w:r>
    </w:p>
    <w:p>
      <w:pPr>
        <w:pStyle w:val="FirstParagraph"/>
      </w:pPr>
      <w:r>
        <w:t xml:space="preserve">The urgency of addressing climate change necessitates robust and transparent accounting of greenhouse gas (GHG) emissions. A Product Carbon Footprint (PCF) analysis is a critical tool for understanding and managing the climate impact of products throughout their lifecycle. This report provides a detailed PCF for</w:t>
      </w:r>
      <w:r>
        <w:t xml:space="preserve"> </w:t>
      </w:r>
      <w:r>
        <w:rPr>
          <w:bCs/>
          <w:b/>
        </w:rPr>
        <w:t xml:space="preserve">seosekifdg</w:t>
      </w:r>
      <w:r>
        <w:t xml:space="preserve">, produced by</w:t>
      </w:r>
      <w:r>
        <w:t xml:space="preserve"> </w:t>
      </w:r>
      <w:r>
        <w:rPr>
          <w:bCs/>
          <w:b/>
        </w:rPr>
        <w:t xml:space="preserve">drwpywwgli</w:t>
      </w:r>
      <w:r>
        <w:t xml:space="preserve">, aligning with global best practices in carbon accounting.</w:t>
      </w:r>
    </w:p>
    <w:bookmarkStart w:id="23" w:name="product-description"/>
    <w:p>
      <w:pPr>
        <w:pStyle w:val="Heading3"/>
      </w:pPr>
      <w:r>
        <w:t xml:space="preserve">1.1 Product Description</w:t>
      </w:r>
    </w:p>
    <w:p>
      <w:pPr>
        <w:pStyle w:val="FirstParagraph"/>
      </w:pPr>
      <w:r>
        <w:t xml:space="preserve">Product Name: seosekifdg</w:t>
      </w:r>
    </w:p>
    <w:bookmarkEnd w:id="23"/>
    <w:bookmarkStart w:id="24" w:name="company-information"/>
    <w:p>
      <w:pPr>
        <w:pStyle w:val="Heading3"/>
      </w:pPr>
      <w:r>
        <w:t xml:space="preserve">1.2 Company Information</w:t>
      </w:r>
    </w:p>
    <w:p>
      <w:pPr>
        <w:pStyle w:val="FirstParagraph"/>
      </w:pPr>
      <w:r>
        <w:t xml:space="preserve">Company Name: drwpywwgli</w:t>
      </w:r>
    </w:p>
    <w:bookmarkEnd w:id="24"/>
    <w:bookmarkStart w:id="25" w:name="senior-sustainability-consultant"/>
    <w:p>
      <w:pPr>
        <w:pStyle w:val="Heading3"/>
      </w:pPr>
      <w:r>
        <w:t xml:space="preserve">1.3 Senior Sustainability Consultant</w:t>
      </w:r>
    </w:p>
    <w:p>
      <w:pPr>
        <w:pStyle w:val="FirstParagraph"/>
      </w:pPr>
      <w:r>
        <w:t xml:space="preserve">Consultant: zsfngmpdyi</w:t>
      </w:r>
    </w:p>
    <w:bookmarkEnd w:id="25"/>
    <w:bookmarkStart w:id="26" w:name="purpose-and-scope"/>
    <w:p>
      <w:pPr>
        <w:pStyle w:val="Heading3"/>
      </w:pPr>
      <w:r>
        <w:t xml:space="preserve">1.4 Purpose and Scope</w:t>
      </w:r>
    </w:p>
    <w:p>
      <w:pPr>
        <w:pStyle w:val="FirstParagraph"/>
      </w:pPr>
      <w:r>
        <w:t xml:space="preserve">The primary purpose of this PCF analysis is to quantify the total GHG emissions associated with</w:t>
      </w:r>
      <w:r>
        <w:t xml:space="preserve"> </w:t>
      </w:r>
      <w:r>
        <w:rPr>
          <w:bCs/>
          <w:b/>
        </w:rPr>
        <w:t xml:space="preserve">seosekifdg</w:t>
      </w:r>
      <w:r>
        <w:t xml:space="preserve">, identify emission hotspots, and inform strategies for reduction. This analysis adheres strictly to the</w:t>
      </w:r>
      <w:r>
        <w:t xml:space="preserve"> </w:t>
      </w:r>
      <w:r>
        <w:rPr>
          <w:bCs/>
          <w:b/>
        </w:rPr>
        <w:t xml:space="preserve">GHG Protocol</w:t>
      </w:r>
      <w:r>
        <w:t xml:space="preserve"> </w:t>
      </w:r>
      <w:r>
        <w:t xml:space="preserve">standards, including specific requirements for Scope 1, Scope 2, and Scope 3 emissions.</w:t>
      </w:r>
    </w:p>
    <w:p>
      <w:r>
        <w:pict>
          <v:rect style="width:0;height:1.5pt" o:hralign="center" o:hrstd="t" o:hr="t"/>
        </w:pict>
      </w:r>
    </w:p>
    <w:bookmarkEnd w:id="26"/>
    <w:bookmarkEnd w:id="27"/>
    <w:bookmarkStart w:id="33" w:name="methodology"/>
    <w:p>
      <w:pPr>
        <w:pStyle w:val="Heading2"/>
      </w:pPr>
      <w:r>
        <w:t xml:space="preserve">2. Methodology</w:t>
      </w:r>
    </w:p>
    <w:p>
      <w:pPr>
        <w:pStyle w:val="FirstParagraph"/>
      </w:pPr>
      <w:r>
        <w:t xml:space="preserve">The Product Carbon Footprint (PCF) for seosekifdg was calculated based on the GHG Protocol Product Standard, following a life cycle assessment (LCA) approach.</w:t>
      </w:r>
    </w:p>
    <w:bookmarkStart w:id="28" w:name="defining-scope"/>
    <w:p>
      <w:pPr>
        <w:pStyle w:val="Heading3"/>
      </w:pPr>
      <w:r>
        <w:t xml:space="preserve">2.1 Defining Scope</w:t>
      </w:r>
    </w:p>
    <w:p>
      <w:pPr>
        <w:numPr>
          <w:ilvl w:val="0"/>
          <w:numId w:val="1001"/>
        </w:numPr>
        <w:pStyle w:val="Compact"/>
      </w:pPr>
      <w:r>
        <w:rPr>
          <w:bCs/>
          <w:b/>
        </w:rPr>
        <w:t xml:space="preserve">Functional Unit:</w:t>
      </w:r>
      <w:r>
        <w:t xml:space="preserve"> </w:t>
      </w:r>
      <w:r>
        <w:t xml:space="preserve">The functional unit for this analysis is</w:t>
      </w:r>
      <w:r>
        <w:t xml:space="preserve"> </w:t>
      </w:r>
      <w:r>
        <w:rPr>
          <w:bCs/>
          <w:b/>
        </w:rPr>
        <w:t xml:space="preserve">1.0 unit</w:t>
      </w:r>
      <w:r>
        <w:t xml:space="preserve"> </w:t>
      </w:r>
      <w:r>
        <w:t xml:space="preserve">of seosekifdg.</w:t>
      </w:r>
    </w:p>
    <w:p>
      <w:pPr>
        <w:numPr>
          <w:ilvl w:val="0"/>
          <w:numId w:val="1001"/>
        </w:numPr>
        <w:pStyle w:val="Compact"/>
      </w:pPr>
      <w:r>
        <w:rPr>
          <w:bCs/>
          <w:b/>
        </w:rPr>
        <w:t xml:space="preserve">System Boundary:</w:t>
      </w:r>
      <w:r>
        <w:t xml:space="preserve"> </w:t>
      </w:r>
      <w:r>
        <w:t xml:space="preserve">The system boundary is defined as</w:t>
      </w:r>
      <w:r>
        <w:t xml:space="preserve"> </w:t>
      </w:r>
      <w:r>
        <w:rPr>
          <w:bCs/>
          <w:b/>
        </w:rPr>
        <w:t xml:space="preserve">factory_gate</w:t>
      </w:r>
      <w:r>
        <w:t xml:space="preserve">, encompassing all emissions from raw material acquisition ("cradle") up to the point the product leaves the manufacturing facility. Additionally, the analysis extends to include the use phase and end-of-life treatment of the product, providing a more comprehensive "cradle-to-grave" perspective for reporting purposes.</w:t>
      </w:r>
      <w:r>
        <w:t xml:space="preserve"> </w:t>
      </w:r>
      <w:r>
        <w:t xml:space="preserve">The following lifecycle stages are considered:</w:t>
      </w:r>
    </w:p>
    <w:p>
      <w:pPr>
        <w:numPr>
          <w:ilvl w:val="1"/>
          <w:numId w:val="1002"/>
        </w:numPr>
        <w:pStyle w:val="Compact"/>
      </w:pPr>
      <w:r>
        <w:t xml:space="preserve">Raw Material Acquisition &amp; Pre-processing (Upstream)</w:t>
      </w:r>
    </w:p>
    <w:p>
      <w:pPr>
        <w:numPr>
          <w:ilvl w:val="1"/>
          <w:numId w:val="1002"/>
        </w:numPr>
        <w:pStyle w:val="Compact"/>
      </w:pPr>
      <w:r>
        <w:t xml:space="preserve">Manufacturing (Core Production)</w:t>
      </w:r>
    </w:p>
    <w:p>
      <w:pPr>
        <w:numPr>
          <w:ilvl w:val="1"/>
          <w:numId w:val="1002"/>
        </w:numPr>
        <w:pStyle w:val="Compact"/>
      </w:pPr>
      <w:r>
        <w:t xml:space="preserve">Transportation (Upstream &amp; Downstream)</w:t>
      </w:r>
    </w:p>
    <w:p>
      <w:pPr>
        <w:numPr>
          <w:ilvl w:val="1"/>
          <w:numId w:val="1002"/>
        </w:numPr>
        <w:pStyle w:val="Compact"/>
      </w:pPr>
      <w:r>
        <w:t xml:space="preserve">Use Phase</w:t>
      </w:r>
    </w:p>
    <w:p>
      <w:pPr>
        <w:numPr>
          <w:ilvl w:val="1"/>
          <w:numId w:val="1002"/>
        </w:numPr>
        <w:pStyle w:val="Compact"/>
      </w:pPr>
      <w:r>
        <w:t xml:space="preserve">End-of-Life Treatment</w:t>
      </w:r>
    </w:p>
    <w:p>
      <w:pPr>
        <w:numPr>
          <w:ilvl w:val="0"/>
          <w:numId w:val="1001"/>
        </w:numPr>
        <w:pStyle w:val="Compact"/>
      </w:pPr>
      <w:r>
        <w:rPr>
          <w:bCs/>
          <w:b/>
        </w:rPr>
        <w:t xml:space="preserve">Geographic Scope:</w:t>
      </w:r>
      <w:r>
        <w:t xml:space="preserve"> </w:t>
      </w:r>
      <w:r>
        <w:t xml:space="preserve">The final production country is</w:t>
      </w:r>
      <w:r>
        <w:t xml:space="preserve"> </w:t>
      </w:r>
      <w:r>
        <w:rPr>
          <w:bCs/>
          <w:b/>
        </w:rPr>
        <w:t xml:space="preserve">China</w:t>
      </w:r>
      <w:r>
        <w:t xml:space="preserve">, with a</w:t>
      </w:r>
      <w:r>
        <w:t xml:space="preserve"> </w:t>
      </w:r>
      <w:r>
        <w:rPr>
          <w:bCs/>
          <w:b/>
        </w:rPr>
        <w:t xml:space="preserve">Europe Focused</w:t>
      </w:r>
      <w:r>
        <w:t xml:space="preserve"> </w:t>
      </w:r>
      <w:r>
        <w:t xml:space="preserve">supply chain for raw materials and downstream distribution.</w:t>
      </w:r>
    </w:p>
    <w:p>
      <w:pPr>
        <w:numPr>
          <w:ilvl w:val="0"/>
          <w:numId w:val="1001"/>
        </w:numPr>
        <w:pStyle w:val="Compact"/>
      </w:pPr>
      <w:r>
        <w:rPr>
          <w:bCs/>
          <w:b/>
        </w:rPr>
        <w:t xml:space="preserve">Allocation:</w:t>
      </w:r>
      <w:r>
        <w:t xml:space="preserve"> </w:t>
      </w:r>
      <w:r>
        <w:t xml:space="preserve">Where co-production or multi-functional processes occur, emissions have been allocated based on established GHG Protocol guidance, typically physical (e.g., mass) or economic allocation, ensuring consistency and avoiding double-counting or omissions.</w:t>
      </w:r>
    </w:p>
    <w:bookmarkEnd w:id="28"/>
    <w:bookmarkStart w:id="31" w:name="accounting-standard-and-key-updates"/>
    <w:p>
      <w:pPr>
        <w:pStyle w:val="Heading3"/>
      </w:pPr>
      <w:r>
        <w:t xml:space="preserve">2.2 Accounting Standard and Key Updates</w:t>
      </w:r>
    </w:p>
    <w:p>
      <w:pPr>
        <w:pStyle w:val="FirstParagraph"/>
      </w:pPr>
      <w:r>
        <w:t xml:space="preserve">This analysis strictly adheres to the</w:t>
      </w:r>
      <w:r>
        <w:t xml:space="preserve"> </w:t>
      </w:r>
      <w:r>
        <w:rPr>
          <w:bCs/>
          <w:b/>
        </w:rPr>
        <w:t xml:space="preserve">GHG Protocol</w:t>
      </w:r>
      <w:r>
        <w:t xml:space="preserve"> </w:t>
      </w:r>
      <w:r>
        <w:t xml:space="preserve">standards. The GHG Protocol is the most widely used international standard for measuring, managing, and reporting corporate greenhouse gas emissions, providing the methodology that thousands of companies use to calculate their carbon footprint across Scope 1, 2, and 3 emissions. Emissions are categorized into three scopes:</w:t>
      </w:r>
    </w:p>
    <w:p>
      <w:pPr>
        <w:numPr>
          <w:ilvl w:val="0"/>
          <w:numId w:val="1003"/>
        </w:numPr>
        <w:pStyle w:val="Compact"/>
      </w:pPr>
      <w:r>
        <w:rPr>
          <w:bCs/>
          <w:b/>
        </w:rPr>
        <w:t xml:space="preserve">Scope 1: Direct GHG Emissions</w:t>
      </w:r>
      <w:r>
        <w:t xml:space="preserve"> </w:t>
      </w:r>
      <w:r>
        <w:t xml:space="preserve">from sources owned or controlled by the company (e.g., direct fuel combustion in manufacturing).</w:t>
      </w:r>
    </w:p>
    <w:p>
      <w:pPr>
        <w:numPr>
          <w:ilvl w:val="0"/>
          <w:numId w:val="1003"/>
        </w:numPr>
        <w:pStyle w:val="Compact"/>
      </w:pPr>
      <w:r>
        <w:rPr>
          <w:bCs/>
          <w:b/>
        </w:rPr>
        <w:t xml:space="preserve">Scope 2: Indirect GHG Emissions from Purchased Energy</w:t>
      </w:r>
      <w:r>
        <w:t xml:space="preserve"> </w:t>
      </w:r>
      <w:r>
        <w:t xml:space="preserve">(e.g., electricity, heat, steam, cooling). Companies are required to report Scope 2 using both location-based (average grid emission factors) and market-based (emission factors from contractual instruments like RECs, PPAs) methods.</w:t>
      </w:r>
    </w:p>
    <w:p>
      <w:pPr>
        <w:numPr>
          <w:ilvl w:val="0"/>
          <w:numId w:val="1003"/>
        </w:numPr>
        <w:pStyle w:val="Compact"/>
      </w:pPr>
      <w:r>
        <w:rPr>
          <w:bCs/>
          <w:b/>
        </w:rPr>
        <w:t xml:space="preserve">Scope 3: Other Indirect GHG Emissions from the Value Chain</w:t>
      </w:r>
      <w:r>
        <w:t xml:space="preserve">, both upstream and downstream, that are not included in Scope 1 or Scope 2. This typically represents the majority of a company\'s footprint. The GHG Protocol defines 15 categories for Scope 3 emissions.</w:t>
      </w:r>
    </w:p>
    <w:bookmarkStart w:id="29" w:name="X7ef73fe3d39a8d84fae696b42f814aa0d860ec0"/>
    <w:p>
      <w:pPr>
        <w:pStyle w:val="Heading4"/>
      </w:pPr>
      <w:r>
        <w:t xml:space="preserve">2.2.1 2026 LSR Update (Land Sector and Removals Standard)</w:t>
      </w:r>
    </w:p>
    <w:p>
      <w:pPr>
        <w:pStyle w:val="FirstParagraph"/>
      </w:pPr>
      <w:r>
        <w:t xml:space="preserve">The analysis incorporates the principles of the GHG Protocol\'s Land Sector and Removals (LSR) Standard, which took effect on January 1, 2027. This standard provides accounting requirements and guidance for quantifying, reporting, and tracking land emissions, CO2 removals, and other key metrics. It also offers guidance for technological CO2 removals (e.g., direct air capture). While the full guidance document is expected in Q2 2026, the foundational requirements for land management, land use change, and biogenic products are considered where relevant to the product\'s value chain. The LSR Standard also provides guidance for classifying activities among Scope 1 and Scope 3 emissions and removals.</w:t>
      </w:r>
    </w:p>
    <w:bookmarkEnd w:id="29"/>
    <w:bookmarkStart w:id="30" w:name="scope-3-compliance-2026-requirements"/>
    <w:p>
      <w:pPr>
        <w:pStyle w:val="Heading4"/>
      </w:pPr>
      <w:r>
        <w:t xml:space="preserve">2.2.2 Scope 3 Compliance (2026 Requirements)</w:t>
      </w:r>
    </w:p>
    <w:p>
      <w:pPr>
        <w:pStyle w:val="FirstParagraph"/>
      </w:pPr>
      <w:r>
        <w:t xml:space="preserve">In alignment with the 2026 requirements, this report aims for at least</w:t>
      </w:r>
      <w:r>
        <w:t xml:space="preserve"> </w:t>
      </w:r>
      <w:r>
        <w:rPr>
          <w:bCs/>
          <w:b/>
        </w:rPr>
        <w:t xml:space="preserve">95% coverage for Scope 3 reporting</w:t>
      </w:r>
      <w:r>
        <w:t xml:space="preserve">. The GHG Protocol Scope 3 revision, with its Phase 1 Progress Update released in March 2026, introduces a critical 95% inclusion threshold for required Scope 3 emissions, forcing near-complete coverage and requiring justification for any exclusions. This revision also mandates disaggregation by data type (e.g., primary activity data, spend-based, industry-based) to enhance transparency and improve the reliability and comparability of reported data.</w:t>
      </w:r>
    </w:p>
    <w:bookmarkEnd w:id="30"/>
    <w:bookmarkEnd w:id="31"/>
    <w:bookmarkStart w:id="32" w:name="lifecycle-mapping-lci-inventory-stages"/>
    <w:p>
      <w:pPr>
        <w:pStyle w:val="Heading3"/>
      </w:pPr>
      <w:r>
        <w:t xml:space="preserve">2.3 Lifecycle Mapping (LCI Inventory Stages)</w:t>
      </w:r>
    </w:p>
    <w:p>
      <w:pPr>
        <w:pStyle w:val="FirstParagraph"/>
      </w:pPr>
      <w:r>
        <w:t xml:space="preserve">The product lifecycle was mapped into distinct stages to ensure comprehensive data collection and emission accounting:</w:t>
      </w:r>
    </w:p>
    <w:p>
      <w:pPr>
        <w:numPr>
          <w:ilvl w:val="0"/>
          <w:numId w:val="1004"/>
        </w:numPr>
        <w:pStyle w:val="Compact"/>
      </w:pPr>
      <w:r>
        <w:rPr>
          <w:bCs/>
          <w:b/>
        </w:rPr>
        <w:t xml:space="preserve">Raw Material Acquisition &amp; Pre-processing:</w:t>
      </w:r>
      <w:r>
        <w:t xml:space="preserve"> </w:t>
      </w:r>
      <w:r>
        <w:t xml:space="preserve">Extraction, cultivation, and initial processing of all materials listed in the Bill of Materials (BOM). (Scope 3, Category 1)</w:t>
      </w:r>
    </w:p>
    <w:p>
      <w:pPr>
        <w:numPr>
          <w:ilvl w:val="0"/>
          <w:numId w:val="1004"/>
        </w:numPr>
        <w:pStyle w:val="Compact"/>
      </w:pPr>
      <w:r>
        <w:rPr>
          <w:bCs/>
          <w:b/>
        </w:rPr>
        <w:t xml:space="preserve">Manufacturing:</w:t>
      </w:r>
      <w:r>
        <w:t xml:space="preserve"> </w:t>
      </w:r>
      <w:r>
        <w:t xml:space="preserve">Energy consumption and direct emissions from the assembly and production processes in China. (Scope 1 &amp; 2)</w:t>
      </w:r>
    </w:p>
    <w:p>
      <w:pPr>
        <w:numPr>
          <w:ilvl w:val="0"/>
          <w:numId w:val="1004"/>
        </w:numPr>
        <w:pStyle w:val="Compact"/>
      </w:pPr>
      <w:r>
        <w:rPr>
          <w:bCs/>
          <w:b/>
        </w:rPr>
        <w:t xml:space="preserve">Transportation (Upstream):</w:t>
      </w:r>
      <w:r>
        <w:t xml:space="preserve"> </w:t>
      </w:r>
      <w:r>
        <w:t xml:space="preserve">Transport of raw materials and components from suppliers (Europe Focused) to the manufacturing facility in China. (Scope 3, Category 4)</w:t>
      </w:r>
    </w:p>
    <w:p>
      <w:pPr>
        <w:numPr>
          <w:ilvl w:val="0"/>
          <w:numId w:val="1004"/>
        </w:numPr>
        <w:pStyle w:val="Compact"/>
      </w:pPr>
      <w:r>
        <w:rPr>
          <w:bCs/>
          <w:b/>
        </w:rPr>
        <w:t xml:space="preserve">Transportation (Downstream):</w:t>
      </w:r>
      <w:r>
        <w:t xml:space="preserve"> </w:t>
      </w:r>
      <w:r>
        <w:t xml:space="preserve">Transport of the finished product from the factory in China to the customer/distribution channels. (Scope 3, Category 9)</w:t>
      </w:r>
    </w:p>
    <w:p>
      <w:pPr>
        <w:numPr>
          <w:ilvl w:val="0"/>
          <w:numId w:val="1004"/>
        </w:numPr>
        <w:pStyle w:val="Compact"/>
      </w:pPr>
      <w:r>
        <w:rPr>
          <w:bCs/>
          <w:b/>
        </w:rPr>
        <w:t xml:space="preserve">Use Phase:</w:t>
      </w:r>
      <w:r>
        <w:t xml:space="preserve"> </w:t>
      </w:r>
      <w:r>
        <w:t xml:space="preserve">Emissions arising from the product\'s energy consumption during its lifespan. (Scope 3, Category 11)</w:t>
      </w:r>
    </w:p>
    <w:p>
      <w:pPr>
        <w:numPr>
          <w:ilvl w:val="0"/>
          <w:numId w:val="1004"/>
        </w:numPr>
        <w:pStyle w:val="Compact"/>
      </w:pPr>
      <w:r>
        <w:rPr>
          <w:bCs/>
          <w:b/>
        </w:rPr>
        <w:t xml:space="preserve">End-of-Life Treatment:</w:t>
      </w:r>
      <w:r>
        <w:t xml:space="preserve"> </w:t>
      </w:r>
      <w:r>
        <w:t xml:space="preserve">Emissions and potential credits associated with disposal, recycling, and circular programs. (Scope 3, Category 12)</w:t>
      </w:r>
    </w:p>
    <w:p>
      <w:r>
        <w:pict>
          <v:rect style="width:0;height:1.5pt" o:hralign="center" o:hrstd="t" o:hr="t"/>
        </w:pict>
      </w:r>
    </w:p>
    <w:bookmarkEnd w:id="32"/>
    <w:bookmarkEnd w:id="33"/>
    <w:bookmarkStart w:id="39" w:name="data-collection-and-inventory-lci"/>
    <w:p>
      <w:pPr>
        <w:pStyle w:val="Heading2"/>
      </w:pPr>
      <w:r>
        <w:t xml:space="preserve">3. Data Collection and Inventory (LCI)</w:t>
      </w:r>
    </w:p>
    <w:p>
      <w:pPr>
        <w:pStyle w:val="FirstParagraph"/>
      </w:pPr>
      <w:r>
        <w:t xml:space="preserve">Data was collected from various sources, including primary company-specific data (where provided) and secondary industry-average emission factors from reputable databases like Ecoinvent and DEFRA, as specified by the GHG Protocol. For parameters provided as string placeholders, illustrative yet typical values have been assumed for calculation purposes, clearly noted below.</w:t>
      </w:r>
    </w:p>
    <w:p>
      <w:pPr>
        <w:pStyle w:val="BodyText"/>
      </w:pPr>
      <w:r>
        <w:rPr>
          <w:bCs/>
          <w:b/>
        </w:rPr>
        <w:t xml:space="preserve">Product Weight Assumption for Transport:</w:t>
      </w:r>
      <w:r>
        <w:t xml:space="preserve"> </w:t>
      </w:r>
      <w:r>
        <w:t xml:space="preserve">For calculations involving transport, the total weight of the finished product seosekifdg is assumed to be 0.6 kg.</w:t>
      </w:r>
    </w:p>
    <w:bookmarkStart w:id="34" w:name="Xf1c494564966f3fdee113e70343233d6c03405c"/>
    <w:p>
      <w:pPr>
        <w:pStyle w:val="Heading3"/>
      </w:pPr>
      <w:r>
        <w:t xml:space="preserve">3.1 Bill of Materials (BOM) - Upstream Materials (Scope 3, Category 1: Purchased Goods and Services)</w:t>
      </w:r>
    </w:p>
    <w:p>
      <w:pPr>
        <w:pStyle w:val="FirstParagraph"/>
      </w:pPr>
      <w:r>
        <w:t xml:space="preserve">The provided Detailed Bill of Materials (BOM) for</w:t>
      </w:r>
      <w:r>
        <w:t xml:space="preserve"> </w:t>
      </w:r>
      <w:r>
        <w:rPr>
          <w:bCs/>
          <w:b/>
        </w:rPr>
        <w:t xml:space="preserve">xmshrpqe</w:t>
      </w:r>
      <w:r>
        <w:t xml:space="preserve"> </w:t>
      </w:r>
      <w:r>
        <w:t xml:space="preserve">was used for high-accuracy material impact calculation. The data format includes ID, Description, Category, Process, Quantity (Qty), Unit, Emission Factor, and Total Carbon. The \'Total Carbon\' values represent pre-calculated emissions for each component, which are summed for the overall material footprint.</w:t>
      </w:r>
    </w:p>
    <w:p>
      <w:pPr>
        <w:pStyle w:val="BodyText"/>
      </w:pPr>
      <w:r>
        <w:rPr>
          <w:bCs/>
          <w:b/>
        </w:rPr>
        <w:t xml:space="preserve">Detailed Bill of Materials (Illustrative data based on \'xmshrpqe\' string parameter):</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MAT001</w:t>
            </w:r>
          </w:p>
        </w:tc>
        <w:tc>
          <w:tcPr/>
          <w:p>
            <w:pPr>
              <w:pStyle w:val="Compact"/>
              <w:jc w:val="left"/>
            </w:pPr>
            <w:r>
              <w:t xml:space="preserve">Aluminium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0.3</w:t>
            </w:r>
          </w:p>
        </w:tc>
        <w:tc>
          <w:tcPr/>
          <w:p>
            <w:pPr>
              <w:pStyle w:val="Compact"/>
              <w:jc w:val="left"/>
            </w:pPr>
            <w:r>
              <w:t xml:space="preserve">kg</w:t>
            </w:r>
          </w:p>
        </w:tc>
        <w:tc>
          <w:tcPr/>
          <w:p>
            <w:pPr>
              <w:pStyle w:val="Compact"/>
              <w:jc w:val="left"/>
            </w:pPr>
            <w:r>
              <w:t xml:space="preserve">5.2</w:t>
            </w:r>
          </w:p>
        </w:tc>
        <w:tc>
          <w:tcPr/>
          <w:p>
            <w:pPr>
              <w:pStyle w:val="Compact"/>
              <w:jc w:val="left"/>
            </w:pPr>
            <w:r>
              <w:t xml:space="preserve">1.56</w:t>
            </w:r>
          </w:p>
        </w:tc>
      </w:tr>
      <w:tr>
        <w:tc>
          <w:tcPr/>
          <w:p>
            <w:pPr>
              <w:pStyle w:val="Compact"/>
              <w:jc w:val="left"/>
            </w:pPr>
            <w:r>
              <w:t xml:space="preserve">MAT002</w:t>
            </w:r>
          </w:p>
        </w:tc>
        <w:tc>
          <w:tcPr/>
          <w:p>
            <w:pPr>
              <w:pStyle w:val="Compact"/>
              <w:jc w:val="left"/>
            </w:pPr>
            <w:r>
              <w:t xml:space="preserve">Recycled Plastic Shell</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2.5</w:t>
            </w:r>
          </w:p>
        </w:tc>
        <w:tc>
          <w:tcPr/>
          <w:p>
            <w:pPr>
              <w:pStyle w:val="Compact"/>
              <w:jc w:val="left"/>
            </w:pPr>
            <w:r>
              <w:t xml:space="preserve">0.50</w:t>
            </w:r>
          </w:p>
        </w:tc>
      </w:tr>
      <w:tr>
        <w:tc>
          <w:tcPr/>
          <w:p>
            <w:pPr>
              <w:pStyle w:val="Compact"/>
              <w:jc w:val="left"/>
            </w:pPr>
            <w:r>
              <w:t xml:space="preserve">MAT003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1.2</w:t>
            </w:r>
          </w:p>
        </w:tc>
        <w:tc>
          <w:tcPr/>
          <w:p>
            <w:pPr>
              <w:pStyle w:val="Compact"/>
              <w:jc w:val="left"/>
            </w:pPr>
            <w:r>
              <w:t xml:space="preserve">1.20</w:t>
            </w:r>
          </w:p>
        </w:tc>
      </w:tr>
      <w:tr>
        <w:tc>
          <w:tcPr/>
          <w:p>
            <w:pPr>
              <w:pStyle w:val="Compact"/>
              <w:jc w:val="left"/>
            </w:pPr>
            <w:r>
              <w:t xml:space="preserve">MAT004</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18.0</w:t>
            </w:r>
          </w:p>
        </w:tc>
        <w:tc>
          <w:tcPr/>
          <w:p>
            <w:pPr>
              <w:pStyle w:val="Compact"/>
              <w:jc w:val="left"/>
            </w:pPr>
            <w:r>
              <w:t xml:space="preserve">0.90</w:t>
            </w:r>
          </w:p>
        </w:tc>
      </w:tr>
      <w:tr>
        <w:tc>
          <w:tcPr/>
          <w:p>
            <w:pPr>
              <w:pStyle w:val="Compact"/>
              <w:jc w:val="left"/>
            </w:pPr>
            <w:r>
              <w:t xml:space="preserve">MAT005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Pulping &amp; Conversion</w:t>
            </w:r>
          </w:p>
        </w:tc>
        <w:tc>
          <w:tcPr/>
          <w:p>
            <w:pPr>
              <w:pStyle w:val="Compact"/>
              <w:jc w:val="left"/>
            </w:pPr>
            <w:r>
              <w:t xml:space="preserve">0.08</w:t>
            </w:r>
          </w:p>
        </w:tc>
        <w:tc>
          <w:tcPr/>
          <w:p>
            <w:pPr>
              <w:pStyle w:val="Compact"/>
              <w:jc w:val="left"/>
            </w:pPr>
            <w:r>
              <w:t xml:space="preserve">kg</w:t>
            </w:r>
          </w:p>
        </w:tc>
        <w:tc>
          <w:tcPr/>
          <w:p>
            <w:pPr>
              <w:pStyle w:val="Compact"/>
              <w:jc w:val="left"/>
            </w:pPr>
            <w:r>
              <w:t xml:space="preserve">1.1</w:t>
            </w:r>
          </w:p>
        </w:tc>
        <w:tc>
          <w:tcPr/>
          <w:p>
            <w:pPr>
              <w:pStyle w:val="Compact"/>
              <w:jc w:val="left"/>
            </w:pPr>
            <w:r>
              <w:t xml:space="preserve">0.088</w:t>
            </w:r>
          </w:p>
        </w:tc>
      </w:tr>
      <w:tr>
        <w:tc>
          <w:tcPr>
            <w:gridSpan w:val="7"/>
          </w:tcPr>
          <w:p>
            <w:pPr>
              <w:pStyle w:val="Compact"/>
              <w:jc w:val="right"/>
            </w:pPr>
            <w:r>
              <w:t xml:space="preserve">Subtotal Material Carbon:</w:t>
            </w:r>
          </w:p>
        </w:tc>
        <w:tc>
          <w:tcPr/>
          <w:p>
            <w:pPr>
              <w:pStyle w:val="Compact"/>
              <w:jc w:val="left"/>
            </w:pPr>
            <w:r>
              <w:t xml:space="preserve">4.248 kg CO2e</w:t>
            </w:r>
          </w:p>
        </w:tc>
      </w:tr>
    </w:tbl>
    <w:bookmarkEnd w:id="34"/>
    <w:bookmarkStart w:id="35" w:name="manufacturing-energy-scope-1-2"/>
    <w:p>
      <w:pPr>
        <w:pStyle w:val="Heading3"/>
      </w:pPr>
      <w:r>
        <w:t xml:space="preserve">3.2 Manufacturing Energy (Scope 1 &amp; 2)</w:t>
      </w:r>
    </w:p>
    <w:p>
      <w:pPr>
        <w:pStyle w:val="FirstParagraph"/>
      </w:pPr>
      <w:r>
        <w:t xml:space="preserve">Energy consumption during the production phase in China significantly contributes to the PCF.</w:t>
      </w:r>
    </w:p>
    <w:p>
      <w:pPr>
        <w:numPr>
          <w:ilvl w:val="0"/>
          <w:numId w:val="1005"/>
        </w:numPr>
        <w:pStyle w:val="Compact"/>
      </w:pPr>
      <w:r>
        <w:rPr>
          <w:bCs/>
          <w:b/>
        </w:rPr>
        <w:t xml:space="preserve">Energy Intensity (kWh/unit):</w:t>
      </w:r>
      <w:r>
        <w:t xml:space="preserve"> </w:t>
      </w:r>
      <w:r>
        <w:t xml:space="preserve">ywsomnvtlk (Illustrative Value: 10 kWh/unit)</w:t>
      </w:r>
    </w:p>
    <w:p>
      <w:pPr>
        <w:numPr>
          <w:ilvl w:val="0"/>
          <w:numId w:val="1005"/>
        </w:numPr>
        <w:pStyle w:val="Compact"/>
      </w:pPr>
      <w:r>
        <w:rPr>
          <w:bCs/>
          <w:b/>
        </w:rPr>
        <w:t xml:space="preserve">Renewable Energy Usage:</w:t>
      </w:r>
      <w:r>
        <w:t xml:space="preserve"> </w:t>
      </w:r>
      <w:r>
        <w:t xml:space="preserve">oqolsztsvf (Illustrative Value: 75%)</w:t>
      </w:r>
    </w:p>
    <w:p>
      <w:pPr>
        <w:pStyle w:val="FirstParagraph"/>
      </w:pPr>
      <w:r>
        <w:t xml:space="preserve">For calculations, a location-based electricity grid emission factor for China (East Grid) is assumed to be 0.7 kg CO2e/kWh, based on general industry averages reflecting a significant share of fossil fuels.</w:t>
      </w:r>
      <w:r>
        <w:t xml:space="preserve"> </w:t>
      </w:r>
      <w:r>
        <w:t xml:space="preserve">The renewable energy usage directly impacts the market-based Scope 2 emissions.</w:t>
      </w:r>
    </w:p>
    <w:bookmarkEnd w:id="35"/>
    <w:bookmarkStart w:id="36" w:name="Xf229111b7c33c92d41e7fa2e56fcdcae2cecb34"/>
    <w:p>
      <w:pPr>
        <w:pStyle w:val="Heading3"/>
      </w:pPr>
      <w:r>
        <w:t xml:space="preserve">3.3 Transport (Scope 3, Category 4: Upstream &amp; Category 9: Downstream Transportation and Distribution)</w:t>
      </w:r>
    </w:p>
    <w:p>
      <w:pPr>
        <w:pStyle w:val="FirstParagraph"/>
      </w:pPr>
      <w:r>
        <w:t xml:space="preserve">Logistics data is incorporated into the supply chain analysis.</w:t>
      </w:r>
    </w:p>
    <w:p>
      <w:pPr>
        <w:numPr>
          <w:ilvl w:val="0"/>
          <w:numId w:val="1006"/>
        </w:numPr>
        <w:pStyle w:val="Compact"/>
      </w:pPr>
      <w:r>
        <w:rPr>
          <w:bCs/>
          <w:b/>
        </w:rPr>
        <w:t xml:space="preserve">Transport Mode:</w:t>
      </w:r>
      <w:r>
        <w:t xml:space="preserve"> </w:t>
      </w:r>
      <w:r>
        <w:t xml:space="preserve">Select Mode (Assumed: Road Freight - Heavy Goods Vehicle)</w:t>
      </w:r>
    </w:p>
    <w:p>
      <w:pPr>
        <w:numPr>
          <w:ilvl w:val="0"/>
          <w:numId w:val="1006"/>
        </w:numPr>
        <w:pStyle w:val="Compact"/>
      </w:pPr>
      <w:r>
        <w:rPr>
          <w:bCs/>
          <w:b/>
        </w:rPr>
        <w:t xml:space="preserve">Transport Distance:</w:t>
      </w:r>
      <w:r>
        <w:t xml:space="preserve"> </w:t>
      </w:r>
      <w:r>
        <w:t xml:space="preserve">hzxrqmeddh (Assumed: Upstream - 1000 km for raw materials from Europe to China; Downstream - 50 km for last-mile delivery from distribution hub to customer)</w:t>
      </w:r>
    </w:p>
    <w:p>
      <w:pPr>
        <w:numPr>
          <w:ilvl w:val="0"/>
          <w:numId w:val="1006"/>
        </w:numPr>
        <w:pStyle w:val="Compact"/>
      </w:pPr>
      <w:r>
        <w:rPr>
          <w:bCs/>
          <w:b/>
        </w:rPr>
        <w:t xml:space="preserve">Last-Mile Delivery Channel:</w:t>
      </w:r>
      <w:r>
        <w:t xml:space="preserve"> </w:t>
      </w:r>
      <w:r>
        <w:t xml:space="preserve">Delivery Type (Assumed: Small Parcel Courier)</w:t>
      </w:r>
    </w:p>
    <w:p>
      <w:pPr>
        <w:pStyle w:val="FirstParagraph"/>
      </w:pPr>
      <w:r>
        <w:t xml:space="preserve">An emission factor for road freight (heavy goods vehicle, average laden) of 0.062 kg CO2e per tonne-kilometer (tkm) is used, based on typical values recommended for road transport operations (e.g., McKinnon/DEFRA data). For last-mile delivery, a similar or slightly higher factor might be applied due to less efficient vehicle utilization in urban deliveries.</w:t>
      </w:r>
    </w:p>
    <w:bookmarkEnd w:id="36"/>
    <w:bookmarkStart w:id="37" w:name="Xc8d47610e025d3b1fe367d676386ecee874efa3"/>
    <w:p>
      <w:pPr>
        <w:pStyle w:val="Heading3"/>
      </w:pPr>
      <w:r>
        <w:t xml:space="preserve">3.4 Use Phase (Scope 3, Category 11: Use of Sold Products)</w:t>
      </w:r>
    </w:p>
    <w:p>
      <w:pPr>
        <w:pStyle w:val="FirstParagraph"/>
      </w:pPr>
      <w:r>
        <w:t xml:space="preserve">The use phase calculation is expanded using specific durability and consumption data.</w:t>
      </w:r>
    </w:p>
    <w:p>
      <w:pPr>
        <w:numPr>
          <w:ilvl w:val="0"/>
          <w:numId w:val="1007"/>
        </w:numPr>
        <w:pStyle w:val="Compact"/>
      </w:pPr>
      <w:r>
        <w:rPr>
          <w:bCs/>
          <w:b/>
        </w:rPr>
        <w:t xml:space="preserve">Product Lifespan:</w:t>
      </w:r>
      <w:r>
        <w:t xml:space="preserve"> </w:t>
      </w:r>
      <w:r>
        <w:t xml:space="preserve">uihzdinkfe (Illustrative Value: 5 years)</w:t>
      </w:r>
    </w:p>
    <w:p>
      <w:pPr>
        <w:numPr>
          <w:ilvl w:val="0"/>
          <w:numId w:val="1007"/>
        </w:numPr>
        <w:pStyle w:val="Compact"/>
      </w:pPr>
      <w:r>
        <w:rPr>
          <w:bCs/>
          <w:b/>
        </w:rPr>
        <w:t xml:space="preserve">Energy Consumption in Use:</w:t>
      </w:r>
      <w:r>
        <w:t xml:space="preserve"> </w:t>
      </w:r>
      <w:r>
        <w:t xml:space="preserve">zdidqysnej (Illustrative Value: 20 kWh/year)</w:t>
      </w:r>
    </w:p>
    <w:p>
      <w:pPr>
        <w:pStyle w:val="FirstParagraph"/>
      </w:pPr>
      <w:r>
        <w:t xml:space="preserve">For the electricity consumed during the use phase (assuming end-user in Europe), an average European electricity grid emission factor of 0.255 kg CO2e/kWh is used (based on 2022 EU average, which continues to decrease due to decarbonization efforts).</w:t>
      </w:r>
    </w:p>
    <w:bookmarkEnd w:id="37"/>
    <w:bookmarkStart w:id="38" w:name="X22f9dae0edae5a4ebf0dcf5b8ca74de2c6ea5a4"/>
    <w:p>
      <w:pPr>
        <w:pStyle w:val="Heading3"/>
      </w:pPr>
      <w:r>
        <w:t xml:space="preserve">3.5 End-of-Life (EoL) Scenarios (Scope 3, Category 12: End-of-Life Treatment of Sold Products)</w:t>
      </w:r>
    </w:p>
    <w:p>
      <w:pPr>
        <w:pStyle w:val="FirstParagraph"/>
      </w:pPr>
      <w:r>
        <w:t xml:space="preserve">End-of-Life scenarios are incorporated to reflect circular economy impacts.</w:t>
      </w:r>
    </w:p>
    <w:p>
      <w:pPr>
        <w:numPr>
          <w:ilvl w:val="0"/>
          <w:numId w:val="1008"/>
        </w:numPr>
        <w:pStyle w:val="Compact"/>
      </w:pPr>
      <w:r>
        <w:rPr>
          <w:bCs/>
          <w:b/>
        </w:rPr>
        <w:t xml:space="preserve">Recyclability Percentage:</w:t>
      </w:r>
      <w:r>
        <w:t xml:space="preserve"> </w:t>
      </w:r>
      <w:r>
        <w:t xml:space="preserve">veqjizpyny (Illustrative Value: 80%)</w:t>
      </w:r>
    </w:p>
    <w:p>
      <w:pPr>
        <w:numPr>
          <w:ilvl w:val="0"/>
          <w:numId w:val="1008"/>
        </w:numPr>
        <w:pStyle w:val="Compact"/>
      </w:pPr>
      <w:r>
        <w:rPr>
          <w:bCs/>
          <w:b/>
        </w:rPr>
        <w:t xml:space="preserve">Circular/Take-back Programs:</w:t>
      </w:r>
      <w:r>
        <w:t xml:space="preserve"> </w:t>
      </w:r>
      <w:r>
        <w:t xml:space="preserve">tqnxqsqiiw (Assumed: Product Take-back Scheme, with 80% of recyclable material collected)</w:t>
      </w:r>
    </w:p>
    <w:p>
      <w:pPr>
        <w:pStyle w:val="FirstParagraph"/>
      </w:pPr>
      <w:r>
        <w:t xml:space="preserve">Emissions from End-of-Life are calculated based on the assumed recyclability and disposal routes for the product\'s components. For the non-recycled portion, landfill emissions are considered. For recycled materials, the energy consumed during the recycling process (and potential avoided virgin material emissions) is accounted for.</w:t>
      </w:r>
    </w:p>
    <w:p>
      <w:pPr>
        <w:numPr>
          <w:ilvl w:val="0"/>
          <w:numId w:val="1009"/>
        </w:numPr>
        <w:pStyle w:val="Compact"/>
      </w:pPr>
      <w:r>
        <w:t xml:space="preserve">Illustrative emission factor for plastic to landfill: 33 kg CO2e/tonne.</w:t>
      </w:r>
    </w:p>
    <w:p>
      <w:pPr>
        <w:numPr>
          <w:ilvl w:val="0"/>
          <w:numId w:val="1009"/>
        </w:numPr>
        <w:pStyle w:val="Compact"/>
      </w:pPr>
      <w:r>
        <w:t xml:space="preserve">Illustrative emission factor for aluminum recycling process: 0.5 kg CO2e/kg.</w:t>
      </w:r>
    </w:p>
    <w:p>
      <w:r>
        <w:pict>
          <v:rect style="width:0;height:1.5pt" o:hralign="center" o:hrstd="t" o:hr="t"/>
        </w:pict>
      </w:r>
    </w:p>
    <w:bookmarkEnd w:id="38"/>
    <w:bookmarkEnd w:id="39"/>
    <w:bookmarkStart w:id="46" w:name="Xdd1c2ba429305467bad58a0828410d9d0fce25c"/>
    <w:p>
      <w:pPr>
        <w:pStyle w:val="Heading2"/>
      </w:pPr>
      <w:r>
        <w:t xml:space="preserve">4. Emissions Calculation (Activity * Emission Factor = CO2e)</w:t>
      </w:r>
    </w:p>
    <w:p>
      <w:pPr>
        <w:pStyle w:val="FirstParagraph"/>
      </w:pPr>
      <w:r>
        <w:t xml:space="preserve">Emissions were calculated by multiplying activity data (e.g., kg of material, kWh of energy, tkm of transport) by appropriate industry-standard emission factors. All emissions are reported in kilograms of carbon dioxide equivalent (kg CO2e).</w:t>
      </w:r>
    </w:p>
    <w:bookmarkStart w:id="40" w:name="X55f36cdb95779a221fa2fbe5547c10b4990b550"/>
    <w:p>
      <w:pPr>
        <w:pStyle w:val="Heading3"/>
      </w:pPr>
      <w:r>
        <w:t xml:space="preserve">4.1 Illustrative Calculation Parameters and Factors</w:t>
      </w:r>
    </w:p>
    <w:p>
      <w:pPr>
        <w:numPr>
          <w:ilvl w:val="0"/>
          <w:numId w:val="1010"/>
        </w:numPr>
        <w:pStyle w:val="Compact"/>
      </w:pPr>
      <w:r>
        <w:rPr>
          <w:bCs/>
          <w:b/>
        </w:rPr>
        <w:t xml:space="preserve">Product Weight:</w:t>
      </w:r>
      <w:r>
        <w:t xml:space="preserve"> </w:t>
      </w:r>
      <w:r>
        <w:t xml:space="preserve">0.6 kg/unit</w:t>
      </w:r>
    </w:p>
    <w:p>
      <w:pPr>
        <w:numPr>
          <w:ilvl w:val="0"/>
          <w:numId w:val="1010"/>
        </w:numPr>
        <w:pStyle w:val="Compact"/>
      </w:pPr>
      <w:r>
        <w:rPr>
          <w:bCs/>
          <w:b/>
        </w:rPr>
        <w:t xml:space="preserve">China Grid Electricity Emission Factor:</w:t>
      </w:r>
      <w:r>
        <w:t xml:space="preserve"> </w:t>
      </w:r>
      <w:r>
        <w:t xml:space="preserve">0.7 kg CO2e/kWh</w:t>
      </w:r>
    </w:p>
    <w:p>
      <w:pPr>
        <w:numPr>
          <w:ilvl w:val="0"/>
          <w:numId w:val="1010"/>
        </w:numPr>
        <w:pStyle w:val="Compact"/>
      </w:pPr>
      <w:r>
        <w:rPr>
          <w:bCs/>
          <w:b/>
        </w:rPr>
        <w:t xml:space="preserve">Europe Grid Electricity Emission Factor:</w:t>
      </w:r>
      <w:r>
        <w:t xml:space="preserve"> </w:t>
      </w:r>
      <w:r>
        <w:t xml:space="preserve">0.255 kg CO2e/kWh</w:t>
      </w:r>
    </w:p>
    <w:p>
      <w:pPr>
        <w:numPr>
          <w:ilvl w:val="0"/>
          <w:numId w:val="1010"/>
        </w:numPr>
        <w:pStyle w:val="Compact"/>
      </w:pPr>
      <w:r>
        <w:rPr>
          <w:bCs/>
          <w:b/>
        </w:rPr>
        <w:t xml:space="preserve">Road Freight Emission Factor (Upstream &amp; Downstream):</w:t>
      </w:r>
      <w:r>
        <w:t xml:space="preserve"> </w:t>
      </w:r>
      <w:r>
        <w:t xml:space="preserve">0.062 kg CO2e/tkm</w:t>
      </w:r>
    </w:p>
    <w:p>
      <w:pPr>
        <w:numPr>
          <w:ilvl w:val="0"/>
          <w:numId w:val="1010"/>
        </w:numPr>
        <w:pStyle w:val="Compact"/>
      </w:pPr>
      <w:r>
        <w:rPr>
          <w:bCs/>
          <w:b/>
        </w:rPr>
        <w:t xml:space="preserve">Plastic Landfill Emission Factor:</w:t>
      </w:r>
      <w:r>
        <w:t xml:space="preserve"> </w:t>
      </w:r>
      <w:r>
        <w:t xml:space="preserve">0.033 kg CO2e/kg (33 kg CO2e/tonne)</w:t>
      </w:r>
    </w:p>
    <w:p>
      <w:pPr>
        <w:numPr>
          <w:ilvl w:val="0"/>
          <w:numId w:val="1010"/>
        </w:numPr>
        <w:pStyle w:val="Compact"/>
      </w:pPr>
      <w:r>
        <w:rPr>
          <w:bCs/>
          <w:b/>
        </w:rPr>
        <w:t xml:space="preserve">Aluminum Recycling Emission Factor:</w:t>
      </w:r>
      <w:r>
        <w:t xml:space="preserve"> </w:t>
      </w:r>
      <w:r>
        <w:t xml:space="preserve">0.5 kg CO2e/kg</w:t>
      </w:r>
    </w:p>
    <w:bookmarkEnd w:id="40"/>
    <w:bookmarkStart w:id="45" w:name="emissions-by-lifecycle-stage-and-scope"/>
    <w:p>
      <w:pPr>
        <w:pStyle w:val="Heading3"/>
      </w:pPr>
      <w:r>
        <w:t xml:space="preserve">4.2 Emissions by Lifecycle Stage and Scope</w:t>
      </w:r>
    </w:p>
    <w:bookmarkStart w:id="41" w:name="scope-1-direct-emissions-illustrative"/>
    <w:p>
      <w:pPr>
        <w:pStyle w:val="Heading4"/>
      </w:pPr>
      <w:r>
        <w:t xml:space="preserve">Scope 1: Direct Emissions (Illustrative)</w:t>
      </w:r>
    </w:p>
    <w:p>
      <w:pPr>
        <w:pStyle w:val="FirstParagraph"/>
      </w:pPr>
      <w:r>
        <w:t xml:space="preserve">Assuming drwpywwgli\'s manufacturing process in China does not involve significant direct fuel combustion on-site beyond what\'s captured by purchased electricity, or that these are minor. If direct fuel combustion (e.g., for heating or specific processes) occurs, it would be included here. For this illustrative report, Scope 1 direct process emissions are considered negligible or integrated into Scope 2 for purchased heat/steam.</w:t>
      </w:r>
    </w:p>
    <w:p>
      <w:pPr>
        <w:numPr>
          <w:ilvl w:val="0"/>
          <w:numId w:val="1011"/>
        </w:numPr>
        <w:pStyle w:val="Compact"/>
      </w:pPr>
      <w:r>
        <w:rPr>
          <w:bCs/>
          <w:b/>
        </w:rPr>
        <w:t xml:space="preserve">Total Scope 1 Emissions:</w:t>
      </w:r>
      <w:r>
        <w:t xml:space="preserve"> </w:t>
      </w:r>
      <w:r>
        <w:t xml:space="preserve">0.00 kg CO2e (Illustrative, assuming no significant direct emissions beyond energy consumption)</w:t>
      </w:r>
    </w:p>
    <w:bookmarkEnd w:id="41"/>
    <w:bookmarkStart w:id="42" w:name="X4cf83db2c419e7056b3e2d080e67e69035732f1"/>
    <w:p>
      <w:pPr>
        <w:pStyle w:val="Heading4"/>
      </w:pPr>
      <w:r>
        <w:t xml:space="preserve">Scope 2: Purchased Energy Emissions (Illustrative)</w:t>
      </w:r>
    </w:p>
    <w:p>
      <w:pPr>
        <w:pStyle w:val="FirstParagraph"/>
      </w:pPr>
      <w:r>
        <w:t xml:space="preserve">Manufacturing energy consumption based on provided parameters.</w:t>
      </w:r>
    </w:p>
    <w:p>
      <w:pPr>
        <w:numPr>
          <w:ilvl w:val="0"/>
          <w:numId w:val="1012"/>
        </w:numPr>
        <w:pStyle w:val="Compact"/>
      </w:pPr>
      <w:r>
        <w:t xml:space="preserve">Energy Intensity: 10 kWh/unit</w:t>
      </w:r>
    </w:p>
    <w:p>
      <w:pPr>
        <w:numPr>
          <w:ilvl w:val="0"/>
          <w:numId w:val="1012"/>
        </w:numPr>
        <w:pStyle w:val="Compact"/>
      </w:pPr>
      <w:r>
        <w:t xml:space="preserve">Renewable Energy Usage: 75%</w:t>
      </w:r>
    </w:p>
    <w:p>
      <w:pPr>
        <w:numPr>
          <w:ilvl w:val="0"/>
          <w:numId w:val="1012"/>
        </w:numPr>
        <w:pStyle w:val="Compact"/>
      </w:pPr>
      <w:r>
        <w:t xml:space="preserve">Non-renewable energy: 10 kWh/unit * (1 - 0.75) = 2.5 kWh/unit</w:t>
      </w:r>
    </w:p>
    <w:p>
      <w:pPr>
        <w:numPr>
          <w:ilvl w:val="0"/>
          <w:numId w:val="1012"/>
        </w:numPr>
        <w:pStyle w:val="Compact"/>
      </w:pPr>
      <w:r>
        <w:t xml:space="preserve">Emissions from non-renewable electricity: 2.5 kWh/unit * 0.7 kg CO2e/kWh = 1.75 kg CO2e/unit</w:t>
      </w:r>
    </w:p>
    <w:p>
      <w:pPr>
        <w:pStyle w:val="FirstParagraph"/>
      </w:pPr>
      <w:r>
        <w:rPr>
          <w:bCs/>
          <w:b/>
        </w:rPr>
        <w:t xml:space="preserve">Note:</w:t>
      </w:r>
      <w:r>
        <w:t xml:space="preserve"> </w:t>
      </w:r>
      <w:r>
        <w:t xml:space="preserve">The GHG Protocol requires reporting both location-based and market-based Scope 2 emissions. The above calculation represents a market-based approach considering renewable energy purchases. A location-based calculation would use the full grid emission factor for all 10 kWh (10 kWh * 0.7 kg CO2e/kWh = 7.00 kg CO2e/unit).</w:t>
      </w:r>
    </w:p>
    <w:p>
      <w:pPr>
        <w:numPr>
          <w:ilvl w:val="0"/>
          <w:numId w:val="1013"/>
        </w:numPr>
        <w:pStyle w:val="Compact"/>
      </w:pPr>
      <w:r>
        <w:rPr>
          <w:bCs/>
          <w:b/>
        </w:rPr>
        <w:t xml:space="preserve">Total Scope 2 Emissions (Market-based):</w:t>
      </w:r>
      <w:r>
        <w:t xml:space="preserve"> </w:t>
      </w:r>
      <w:r>
        <w:t xml:space="preserve">1.75 kg CO2e</w:t>
      </w:r>
    </w:p>
    <w:bookmarkEnd w:id="42"/>
    <w:bookmarkStart w:id="43" w:name="Xfc1bbd3ce1c315142df3e49c859a7834fe1ae62"/>
    <w:p>
      <w:pPr>
        <w:pStyle w:val="Heading4"/>
      </w:pPr>
      <w:r>
        <w:t xml:space="preserve">Scope 3: Value Chain Emissions (Illustrative)</w:t>
      </w:r>
    </w:p>
    <w:p>
      <w:pPr>
        <w:numPr>
          <w:ilvl w:val="0"/>
          <w:numId w:val="1014"/>
        </w:numPr>
        <w:pStyle w:val="Compact"/>
      </w:pPr>
      <w:r>
        <w:rPr>
          <w:bCs/>
          <w:b/>
        </w:rPr>
        <w:t xml:space="preserve">Category 1: Purchased Goods and Services (Materials)</w:t>
      </w:r>
    </w:p>
    <w:p>
      <w:pPr>
        <w:numPr>
          <w:ilvl w:val="1"/>
          <w:numId w:val="1015"/>
        </w:numPr>
        <w:pStyle w:val="Compact"/>
      </w:pPr>
      <w:r>
        <w:t xml:space="preserve">Total Material Carbon (from BOM): 4.248 kg CO2e</w:t>
      </w:r>
    </w:p>
    <w:p>
      <w:pPr>
        <w:numPr>
          <w:ilvl w:val="0"/>
          <w:numId w:val="1014"/>
        </w:numPr>
        <w:pStyle w:val="Compact"/>
      </w:pPr>
      <w:r>
        <w:rPr>
          <w:bCs/>
          <w:b/>
        </w:rPr>
        <w:t xml:space="preserve">Category 4: Upstream Transportation and Distribution</w:t>
      </w:r>
    </w:p>
    <w:p>
      <w:pPr>
        <w:numPr>
          <w:ilvl w:val="1"/>
          <w:numId w:val="1016"/>
        </w:numPr>
        <w:pStyle w:val="Compact"/>
      </w:pPr>
      <w:r>
        <w:t xml:space="preserve">Product weight: 0.6 kg</w:t>
      </w:r>
    </w:p>
    <w:p>
      <w:pPr>
        <w:numPr>
          <w:ilvl w:val="1"/>
          <w:numId w:val="1016"/>
        </w:numPr>
        <w:pStyle w:val="Compact"/>
      </w:pPr>
      <w:r>
        <w:t xml:space="preserve">Distance (Upstream): 1000 km</w:t>
      </w:r>
    </w:p>
    <w:p>
      <w:pPr>
        <w:numPr>
          <w:ilvl w:val="1"/>
          <w:numId w:val="1016"/>
        </w:numPr>
        <w:pStyle w:val="Compact"/>
      </w:pPr>
      <w:r>
        <w:t xml:space="preserve">Emissions: 0.6 kg * 1000 km * 0.062 kg CO2e/tkm (converted to kg) = 0.0372 kg CO2e</w:t>
      </w:r>
    </w:p>
    <w:p>
      <w:pPr>
        <w:numPr>
          <w:ilvl w:val="0"/>
          <w:numId w:val="1014"/>
        </w:numPr>
        <w:pStyle w:val="Compact"/>
      </w:pPr>
      <w:r>
        <w:rPr>
          <w:bCs/>
          <w:b/>
        </w:rPr>
        <w:t xml:space="preserve">Category 9: Downstream Transportation and Distribution</w:t>
      </w:r>
    </w:p>
    <w:p>
      <w:pPr>
        <w:numPr>
          <w:ilvl w:val="1"/>
          <w:numId w:val="1017"/>
        </w:numPr>
        <w:pStyle w:val="Compact"/>
      </w:pPr>
      <w:r>
        <w:t xml:space="preserve">Product weight: 0.6 kg</w:t>
      </w:r>
    </w:p>
    <w:p>
      <w:pPr>
        <w:numPr>
          <w:ilvl w:val="1"/>
          <w:numId w:val="1017"/>
        </w:numPr>
        <w:pStyle w:val="Compact"/>
      </w:pPr>
      <w:r>
        <w:t xml:space="preserve">Distance (Downstream / Last-Mile): 50 km</w:t>
      </w:r>
    </w:p>
    <w:p>
      <w:pPr>
        <w:numPr>
          <w:ilvl w:val="1"/>
          <w:numId w:val="1017"/>
        </w:numPr>
        <w:pStyle w:val="Compact"/>
      </w:pPr>
      <w:r>
        <w:t xml:space="preserve">Emissions: 0.6 kg * 50 km * 0.062 kg CO2e/tkm (converted to kg) = 0.00186 kg CO2e</w:t>
      </w:r>
    </w:p>
    <w:p>
      <w:pPr>
        <w:numPr>
          <w:ilvl w:val="0"/>
          <w:numId w:val="1014"/>
        </w:numPr>
        <w:pStyle w:val="Compact"/>
      </w:pPr>
      <w:r>
        <w:rPr>
          <w:bCs/>
          <w:b/>
        </w:rPr>
        <w:t xml:space="preserve">Category 11: Use of Sold Products</w:t>
      </w:r>
    </w:p>
    <w:p>
      <w:pPr>
        <w:numPr>
          <w:ilvl w:val="1"/>
          <w:numId w:val="1018"/>
        </w:numPr>
        <w:pStyle w:val="Compact"/>
      </w:pPr>
      <w:r>
        <w:t xml:space="preserve">Product Lifespan: 5 years</w:t>
      </w:r>
    </w:p>
    <w:p>
      <w:pPr>
        <w:numPr>
          <w:ilvl w:val="1"/>
          <w:numId w:val="1018"/>
        </w:numPr>
        <w:pStyle w:val="Compact"/>
      </w:pPr>
      <w:r>
        <w:t xml:space="preserve">Energy Consumption in Use: 20 kWh/year</w:t>
      </w:r>
    </w:p>
    <w:p>
      <w:pPr>
        <w:numPr>
          <w:ilvl w:val="1"/>
          <w:numId w:val="1018"/>
        </w:numPr>
        <w:pStyle w:val="Compact"/>
      </w:pPr>
      <w:r>
        <w:t xml:space="preserve">Total energy consumption over lifespan: 20 kWh/year * 5 years = 100 kWh</w:t>
      </w:r>
    </w:p>
    <w:p>
      <w:pPr>
        <w:numPr>
          <w:ilvl w:val="1"/>
          <w:numId w:val="1018"/>
        </w:numPr>
        <w:pStyle w:val="Compact"/>
      </w:pPr>
      <w:r>
        <w:t xml:space="preserve">Emissions (Europe): 100 kWh * 0.255 kg CO2e/kWh = 25.50 kg CO2e</w:t>
      </w:r>
    </w:p>
    <w:p>
      <w:pPr>
        <w:numPr>
          <w:ilvl w:val="0"/>
          <w:numId w:val="1014"/>
        </w:numPr>
        <w:pStyle w:val="Compact"/>
      </w:pPr>
      <w:r>
        <w:rPr>
          <w:bCs/>
          <w:b/>
        </w:rPr>
        <w:t xml:space="preserve">Category 12: End-of-Life Treatment of Sold Products</w:t>
      </w:r>
    </w:p>
    <w:p>
      <w:pPr>
        <w:numPr>
          <w:ilvl w:val="1"/>
          <w:numId w:val="1019"/>
        </w:numPr>
        <w:pStyle w:val="Compact"/>
      </w:pPr>
      <w:r>
        <w:t xml:space="preserve">Recyclability: 80%</w:t>
      </w:r>
    </w:p>
    <w:p>
      <w:pPr>
        <w:numPr>
          <w:ilvl w:val="1"/>
          <w:numId w:val="1019"/>
        </w:numPr>
        <w:pStyle w:val="Compact"/>
      </w:pPr>
      <w:r>
        <w:t xml:space="preserve">Non-Recyclable portion: 20% (assumed disposed to landfill)</w:t>
      </w:r>
    </w:p>
    <w:p>
      <w:pPr>
        <w:numPr>
          <w:ilvl w:val="1"/>
          <w:numId w:val="1019"/>
        </w:numPr>
        <w:pStyle w:val="Compact"/>
      </w:pPr>
      <w:r>
        <w:t xml:space="preserve">Product weight: 0.6 kg</w:t>
      </w:r>
    </w:p>
    <w:p>
      <w:pPr>
        <w:numPr>
          <w:ilvl w:val="1"/>
          <w:numId w:val="1019"/>
        </w:numPr>
        <w:pStyle w:val="Compact"/>
      </w:pPr>
      <w:r>
        <w:t xml:space="preserve">Non-recyclable plastic (assuming 50% of non-recyclable portion is plastic): 0.6 kg * 0.20 * 0.50 = 0.06 kg plastic</w:t>
      </w:r>
    </w:p>
    <w:p>
      <w:pPr>
        <w:numPr>
          <w:ilvl w:val="1"/>
          <w:numId w:val="1019"/>
        </w:numPr>
        <w:pStyle w:val="Compact"/>
      </w:pPr>
      <w:r>
        <w:t xml:space="preserve">Landfill emissions for plastic: 0.06 kg * 0.033 kg CO2e/kg = 0.00198 kg CO2e</w:t>
      </w:r>
    </w:p>
    <w:p>
      <w:pPr>
        <w:numPr>
          <w:ilvl w:val="1"/>
          <w:numId w:val="1019"/>
        </w:numPr>
        <w:pStyle w:val="Compact"/>
      </w:pPr>
      <w:r>
        <w:t xml:space="preserve">Recycled aluminum (assuming 50% of recyclable portion is aluminum): 0.6 kg * 0.80 * 0.50 = 0.24 kg aluminum</w:t>
      </w:r>
    </w:p>
    <w:p>
      <w:pPr>
        <w:numPr>
          <w:ilvl w:val="1"/>
          <w:numId w:val="1019"/>
        </w:numPr>
        <w:pStyle w:val="Compact"/>
      </w:pPr>
      <w:r>
        <w:t xml:space="preserve">Emissions from aluminum recycling process: 0.24 kg * 0.5 kg CO2e/kg = 0.12 kg CO2e</w:t>
      </w:r>
    </w:p>
    <w:p>
      <w:pPr>
        <w:numPr>
          <w:ilvl w:val="1"/>
          <w:numId w:val="1019"/>
        </w:numPr>
        <w:pStyle w:val="Compact"/>
      </w:pPr>
      <w:r>
        <w:t xml:space="preserve">(Further detailed EoL calculations would include avoided emissions from recycling, which can be significant but are complex to attribute and are often reported separately as benefits or credits rather than direct emissions). For simplicity here, we consider only process emissions of recycling and disposal emissions.</w:t>
      </w:r>
    </w:p>
    <w:p>
      <w:pPr>
        <w:numPr>
          <w:ilvl w:val="1"/>
          <w:numId w:val="1019"/>
        </w:numPr>
        <w:pStyle w:val="Compact"/>
      </w:pPr>
      <w:r>
        <w:rPr>
          <w:bCs/>
          <w:b/>
        </w:rPr>
        <w:t xml:space="preserve">Total EoL Emissions:</w:t>
      </w:r>
      <w:r>
        <w:t xml:space="preserve"> </w:t>
      </w:r>
      <w:r>
        <w:t xml:space="preserve">0.00198 + 0.12 = 0.12198 kg CO2e</w:t>
      </w:r>
    </w:p>
    <w:bookmarkEnd w:id="43"/>
    <w:bookmarkStart w:id="44" w:name="Xe3f0db1b1ee899e5e7593e6f7feca717d0de51e"/>
    <w:p>
      <w:pPr>
        <w:pStyle w:val="Heading4"/>
      </w:pPr>
      <w:r>
        <w:t xml:space="preserve">Summary of GHG Emissions by Scope (Illustrative)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Emissions (kg CO2e per functional unit)</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(Market-based)</w:t>
            </w:r>
          </w:p>
        </w:tc>
        <w:tc>
          <w:tcPr/>
          <w:p>
            <w:pPr>
              <w:pStyle w:val="Compact"/>
              <w:jc w:val="left"/>
            </w:pPr>
            <w:r>
              <w:t xml:space="preserve">1.75</w:t>
            </w:r>
          </w:p>
        </w:tc>
      </w:tr>
      <w:tr>
        <w:tc>
          <w:tcPr>
            <w:vMerge w:val="restart"/>
          </w:tcPr>
          <w:p>
            <w:pPr>
              <w:pStyle w:val="Compact"/>
              <w:jc w:val="left"/>
            </w:pPr>
            <w:r>
              <w:t xml:space="preserve">Scope 3</w:t>
            </w:r>
          </w:p>
        </w:tc>
        <w:tc>
          <w:tcPr/>
          <w:p>
            <w:pPr>
              <w:pStyle w:val="Compact"/>
              <w:jc w:val="left"/>
            </w:pPr>
            <w:r>
              <w:t xml:space="preserve">Category 1: Purchased Goods &amp; Services (Materials)</w:t>
            </w:r>
          </w:p>
        </w:tc>
        <w:tc>
          <w:tcPr/>
          <w:p>
            <w:pPr>
              <w:pStyle w:val="Compact"/>
              <w:jc w:val="left"/>
            </w:pPr>
            <w:r>
              <w:t xml:space="preserve">4.248</w:t>
            </w:r>
          </w:p>
        </w:tc>
      </w:tr>
      <w:tr>
        <w:tc>
          <w:tcPr>
            <w:gridSpan w:val="1"/>
            <w:vMerge w:val="continue"/>
          </w:tcPr>
          <w:p>
            <w:pPr/>
          </w:p>
        </w:tc>
        <w:tc>
          <w:tcPr/>
          <w:p>
            <w:pPr>
              <w:pStyle w:val="Compact"/>
              <w:jc w:val="left"/>
            </w:pPr>
            <w:r>
              <w:t xml:space="preserve">Category 4: Upstream Transportation &amp; Distribution</w:t>
            </w:r>
          </w:p>
        </w:tc>
        <w:tc>
          <w:tcPr/>
          <w:p>
            <w:pPr>
              <w:pStyle w:val="Compact"/>
              <w:jc w:val="left"/>
            </w:pPr>
            <w:r>
              <w:t xml:space="preserve">0.0372</w:t>
            </w:r>
          </w:p>
        </w:tc>
      </w:tr>
      <w:tr>
        <w:tc>
          <w:tcPr>
            <w:gridSpan w:val="1"/>
            <w:vMerge w:val="continue"/>
          </w:tcPr>
          <w:p>
            <w:pPr/>
          </w:p>
        </w:tc>
        <w:tc>
          <w:tcPr/>
          <w:p>
            <w:pPr>
              <w:pStyle w:val="Compact"/>
              <w:jc w:val="left"/>
            </w:pPr>
            <w:r>
              <w:t xml:space="preserve">Category 9: Downstream Transportation &amp; Distribution</w:t>
            </w:r>
          </w:p>
        </w:tc>
        <w:tc>
          <w:tcPr/>
          <w:p>
            <w:pPr>
              <w:pStyle w:val="Compact"/>
              <w:jc w:val="left"/>
            </w:pPr>
            <w:r>
              <w:t xml:space="preserve">0.00186</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25.50</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0.12198</w:t>
            </w:r>
          </w:p>
        </w:tc>
      </w:tr>
      <w:tr>
        <w:tc>
          <w:tcPr>
            <w:gridSpan w:val="2"/>
          </w:tcPr>
          <w:p>
            <w:pPr>
              <w:pStyle w:val="Compact"/>
              <w:jc w:val="right"/>
            </w:pPr>
            <w:r>
              <w:t xml:space="preserve">TOTAL PRODUCT CARBON FOOTPRINT (PCF):</w:t>
            </w:r>
          </w:p>
        </w:tc>
        <w:tc>
          <w:tcPr/>
          <w:p>
            <w:pPr>
              <w:pStyle w:val="Compact"/>
              <w:jc w:val="left"/>
            </w:pPr>
            <w:r>
              <w:t xml:space="preserve">31.65904 kg CO2e</w:t>
            </w:r>
          </w:p>
        </w:tc>
      </w:tr>
    </w:tbl>
    <w:p>
      <w:pPr>
        <w:pStyle w:val="BodyText"/>
      </w:pPr>
      <w:r>
        <w:rPr>
          <w:bCs/>
          <w:b/>
        </w:rPr>
        <w:t xml:space="preserve">Note on Scope 3 Coverage:</w:t>
      </w:r>
      <w:r>
        <w:t xml:space="preserve"> </w:t>
      </w:r>
      <w:r>
        <w:t xml:space="preserve">Based on these illustrative calculations, Scope 3 emissions represent (4.248 + 0.0372 + 0.00186 + 25.50 + 0.12198) / 31.65904 * 100% = 94.6% of the total PCF, which is close to the 95% compliance target and would require further scrutiny to meet.</w:t>
      </w:r>
    </w:p>
    <w:p>
      <w:r>
        <w:pict>
          <v:rect style="width:0;height:1.5pt" o:hralign="center" o:hrstd="t" o:hr="t"/>
        </w:pict>
      </w:r>
    </w:p>
    <w:bookmarkEnd w:id="44"/>
    <w:bookmarkEnd w:id="45"/>
    <w:bookmarkEnd w:id="46"/>
    <w:bookmarkStart w:id="50" w:name="review-reporting"/>
    <w:p>
      <w:pPr>
        <w:pStyle w:val="Heading2"/>
      </w:pPr>
      <w:r>
        <w:t xml:space="preserve">5. Review &amp; Reporting</w:t>
      </w:r>
    </w:p>
    <w:bookmarkStart w:id="47" w:name="emission-hotspots"/>
    <w:p>
      <w:pPr>
        <w:pStyle w:val="Heading3"/>
      </w:pPr>
      <w:r>
        <w:t xml:space="preserve">5.1 Emission Hotspots</w:t>
      </w:r>
    </w:p>
    <w:p>
      <w:pPr>
        <w:pStyle w:val="FirstParagraph"/>
      </w:pPr>
      <w:r>
        <w:t xml:space="preserve">Based on the illustrative calculations, the primary emission hotspots for</w:t>
      </w:r>
      <w:r>
        <w:t xml:space="preserve"> </w:t>
      </w:r>
      <w:r>
        <w:rPr>
          <w:bCs/>
          <w:b/>
        </w:rPr>
        <w:t xml:space="preserve">seosekifdg</w:t>
      </w:r>
      <w:r>
        <w:t xml:space="preserve"> </w:t>
      </w:r>
      <w:r>
        <w:t xml:space="preserve">are:</w:t>
      </w:r>
    </w:p>
    <w:p>
      <w:pPr>
        <w:numPr>
          <w:ilvl w:val="0"/>
          <w:numId w:val="1020"/>
        </w:numPr>
        <w:pStyle w:val="Compact"/>
      </w:pPr>
      <w:r>
        <w:rPr>
          <w:bCs/>
          <w:b/>
        </w:rPr>
        <w:t xml:space="preserve">Use Phase (Scope 3, Category 11):</w:t>
      </w:r>
      <w:r>
        <w:t xml:space="preserve"> </w:t>
      </w:r>
      <w:r>
        <w:t xml:space="preserve">With 25.50 kg CO2e, this stage accounts for the majority of the product\'s carbon footprint, primarily due to the energy consumption over its lifespan. This highlights the importance of energy efficiency during product design and consumer behavior.</w:t>
      </w:r>
    </w:p>
    <w:p>
      <w:pPr>
        <w:numPr>
          <w:ilvl w:val="0"/>
          <w:numId w:val="1020"/>
        </w:numPr>
        <w:pStyle w:val="Compact"/>
      </w:pPr>
      <w:r>
        <w:rPr>
          <w:bCs/>
          <w:b/>
        </w:rPr>
        <w:t xml:space="preserve">Purchased Goods and Services (Scope 3, Category 1 - Materials):</w:t>
      </w:r>
      <w:r>
        <w:t xml:space="preserve"> </w:t>
      </w:r>
      <w:r>
        <w:t xml:space="preserve">The raw materials contribute significantly (4.248 kg CO2e), emphasizing the impact of material selection and supply chain sustainability.</w:t>
      </w:r>
    </w:p>
    <w:p>
      <w:pPr>
        <w:numPr>
          <w:ilvl w:val="0"/>
          <w:numId w:val="1020"/>
        </w:numPr>
        <w:pStyle w:val="Compact"/>
      </w:pPr>
      <w:r>
        <w:rPr>
          <w:bCs/>
          <w:b/>
        </w:rPr>
        <w:t xml:space="preserve">Manufacturing Energy (Scope 2):</w:t>
      </w:r>
      <w:r>
        <w:t xml:space="preserve"> </w:t>
      </w:r>
      <w:r>
        <w:t xml:space="preserve">Although renewable energy usage is at 75%, the remaining 25% powered by China\'s grid still contributes 1.75 kg CO2e. Further increasing renewable energy procurement or improving energy efficiency in production can reduce this.</w:t>
      </w:r>
    </w:p>
    <w:bookmarkEnd w:id="47"/>
    <w:bookmarkStart w:id="48" w:name="reliability-and-data-limitations"/>
    <w:p>
      <w:pPr>
        <w:pStyle w:val="Heading3"/>
      </w:pPr>
      <w:r>
        <w:t xml:space="preserve">5.2 Reliability and Data Limitations</w:t>
      </w:r>
    </w:p>
    <w:p>
      <w:pPr>
        <w:pStyle w:val="FirstParagraph"/>
      </w:pPr>
      <w:r>
        <w:t xml:space="preserve">The reliability of this PCF analysis is directly linked to the quality and specificity of the input data.</w:t>
      </w:r>
    </w:p>
    <w:p>
      <w:pPr>
        <w:numPr>
          <w:ilvl w:val="0"/>
          <w:numId w:val="1021"/>
        </w:numPr>
        <w:pStyle w:val="Compact"/>
      </w:pPr>
      <w:r>
        <w:rPr>
          <w:bCs/>
          <w:b/>
        </w:rPr>
        <w:t xml:space="preserve">Placeholder Parameters:</w:t>
      </w:r>
      <w:r>
        <w:t xml:space="preserve"> </w:t>
      </w:r>
      <w:r>
        <w:t xml:space="preserve">The analysis relies on illustrative numerical values for parameters like `Transport Mode`, `Transport Distance`, `Last-Mile Delivery Channel`, `Renewable Energy Usage`, `Energy Intensity`, `Product Lifespan`, `Energy Consumption in Use`, `Recyclability Percentage`, and `Circular/Take-back Programs`, as these were provided as string placeholders. For a real-world assessment, precise, company-specific data for these parameters is crucial.</w:t>
      </w:r>
    </w:p>
    <w:p>
      <w:pPr>
        <w:numPr>
          <w:ilvl w:val="0"/>
          <w:numId w:val="1021"/>
        </w:numPr>
        <w:pStyle w:val="Compact"/>
      </w:pPr>
      <w:r>
        <w:rPr>
          <w:bCs/>
          <w:b/>
        </w:rPr>
        <w:t xml:space="preserve">Emission Factors:</w:t>
      </w:r>
      <w:r>
        <w:t xml:space="preserve"> </w:t>
      </w:r>
      <w:r>
        <w:t xml:space="preserve">While industry-standard emission factors from sources like Ecoinvent and DEFRA have been used for illustrative calculations, obtaining supplier-specific (primary) data for materials and transportation would significantly enhance accuracy and meet the stricter 2026 Scope 3 reporting requirements for data type disaggregation.</w:t>
      </w:r>
    </w:p>
    <w:p>
      <w:pPr>
        <w:numPr>
          <w:ilvl w:val="0"/>
          <w:numId w:val="1021"/>
        </w:numPr>
        <w:pStyle w:val="Compact"/>
      </w:pPr>
      <w:r>
        <w:rPr>
          <w:bCs/>
          <w:b/>
        </w:rPr>
        <w:t xml:space="preserve">2026 LSR Standard:</w:t>
      </w:r>
      <w:r>
        <w:t xml:space="preserve"> </w:t>
      </w:r>
      <w:r>
        <w:t xml:space="preserve">The LSR Standard is effective January 1, 2027, with full guidance expected in Q2 2026. This report applies its principles but would benefit from the full detailed guidance for a complete implementation, particularly for complex land-use related emissions or removals.</w:t>
      </w:r>
    </w:p>
    <w:bookmarkEnd w:id="48"/>
    <w:bookmarkStart w:id="49" w:name="recommendations"/>
    <w:p>
      <w:pPr>
        <w:pStyle w:val="Heading3"/>
      </w:pPr>
      <w:r>
        <w:t xml:space="preserve">5.3 Recommendations</w:t>
      </w:r>
    </w:p>
    <w:p>
      <w:pPr>
        <w:pStyle w:val="FirstParagraph"/>
      </w:pPr>
      <w:r>
        <w:t xml:space="preserve">To reduce the PCF of</w:t>
      </w:r>
      <w:r>
        <w:t xml:space="preserve"> </w:t>
      </w:r>
      <w:r>
        <w:rPr>
          <w:bCs/>
          <w:b/>
        </w:rPr>
        <w:t xml:space="preserve">seosekifdg</w:t>
      </w:r>
      <w:r>
        <w:t xml:space="preserve"> </w:t>
      </w:r>
      <w:r>
        <w:t xml:space="preserve">and enhance the accuracy of future analyses,</w:t>
      </w:r>
      <w:r>
        <w:t xml:space="preserve"> </w:t>
      </w:r>
      <w:r>
        <w:rPr>
          <w:bCs/>
          <w:b/>
        </w:rPr>
        <w:t xml:space="preserve">drwpywwgli</w:t>
      </w:r>
      <w:r>
        <w:t xml:space="preserve"> </w:t>
      </w:r>
      <w:r>
        <w:t xml:space="preserve">should consider the following:</w:t>
      </w:r>
    </w:p>
    <w:p>
      <w:pPr>
        <w:numPr>
          <w:ilvl w:val="0"/>
          <w:numId w:val="1022"/>
        </w:numPr>
        <w:pStyle w:val="Compact"/>
      </w:pPr>
      <w:r>
        <w:rPr>
          <w:bCs/>
          <w:b/>
        </w:rPr>
        <w:t xml:space="preserve">Use Phase Optimization:</w:t>
      </w:r>
      <w:r>
        <w:t xml:space="preserve"> </w:t>
      </w:r>
      <w:r>
        <w:t xml:space="preserve">Invest in R&amp;D for more energy-efficient product design to minimize energy consumption during the `uihzdinkfe` lifespan. Educate consumers on sustainable use practices.</w:t>
      </w:r>
    </w:p>
    <w:p>
      <w:pPr>
        <w:numPr>
          <w:ilvl w:val="0"/>
          <w:numId w:val="1022"/>
        </w:numPr>
        <w:pStyle w:val="Compact"/>
      </w:pPr>
      <w:r>
        <w:rPr>
          <w:bCs/>
          <w:b/>
        </w:rPr>
        <w:t xml:space="preserve">Sustainable Sourcing:</w:t>
      </w:r>
      <w:r>
        <w:t xml:space="preserve"> </w:t>
      </w:r>
      <w:r>
        <w:t xml:space="preserve">Prioritize sourcing lower-carbon materials and engage with suppliers to obtain primary emission data for all components listed in the BOM (`xmshrpqe`). Explore materials with higher recycled content where feasible.</w:t>
      </w:r>
    </w:p>
    <w:p>
      <w:pPr>
        <w:numPr>
          <w:ilvl w:val="0"/>
          <w:numId w:val="1022"/>
        </w:numPr>
        <w:pStyle w:val="Compact"/>
      </w:pPr>
      <w:r>
        <w:rPr>
          <w:bCs/>
          <w:b/>
        </w:rPr>
        <w:t xml:space="preserve">Renewable Energy Expansion:</w:t>
      </w:r>
      <w:r>
        <w:t xml:space="preserve"> </w:t>
      </w:r>
      <w:r>
        <w:t xml:space="preserve">Increase the percentage of renewable energy usage (`oqolsztsvf`) beyond 75% at the China manufacturing facility to further reduce Scope 2 emissions.</w:t>
      </w:r>
    </w:p>
    <w:p>
      <w:pPr>
        <w:numPr>
          <w:ilvl w:val="0"/>
          <w:numId w:val="1022"/>
        </w:numPr>
        <w:pStyle w:val="Compact"/>
      </w:pPr>
      <w:r>
        <w:rPr>
          <w:bCs/>
          <w:b/>
        </w:rPr>
        <w:t xml:space="preserve">Logistics Optimization:</w:t>
      </w:r>
      <w:r>
        <w:t xml:space="preserve"> </w:t>
      </w:r>
      <w:r>
        <w:t xml:space="preserve">Optimize transport routes, explore lower-emission transport modes where \'Select Mode\' represents higher impact options, and collaborate with logistics providers for fuel-efficient vehicles and optimized loading to reduce `hzxrqmeddh` transport impacts.</w:t>
      </w:r>
    </w:p>
    <w:p>
      <w:pPr>
        <w:numPr>
          <w:ilvl w:val="0"/>
          <w:numId w:val="1022"/>
        </w:numPr>
        <w:pStyle w:val="Compact"/>
      </w:pPr>
      <w:r>
        <w:rPr>
          <w:bCs/>
          <w:b/>
        </w:rPr>
        <w:t xml:space="preserve">Circular Economy Initiatives:</w:t>
      </w:r>
      <w:r>
        <w:t xml:space="preserve"> </w:t>
      </w:r>
      <w:r>
        <w:t xml:space="preserve">Enhance existing circular/take-back programs (`tqnxqsqiiw`) and explore innovative end-of-life solutions to maximize the `veqjizpyny` recyclability and material recovery, potentially generating carbon credits through avoided virgin material production.</w:t>
      </w:r>
    </w:p>
    <w:p>
      <w:pPr>
        <w:numPr>
          <w:ilvl w:val="0"/>
          <w:numId w:val="1022"/>
        </w:numPr>
        <w:pStyle w:val="Compact"/>
      </w:pPr>
      <w:r>
        <w:rPr>
          <w:bCs/>
          <w:b/>
        </w:rPr>
        <w:t xml:space="preserve">Data Collection Improvement:</w:t>
      </w:r>
      <w:r>
        <w:t xml:space="preserve"> </w:t>
      </w:r>
      <w:r>
        <w:t xml:space="preserve">Implement robust systems for collecting primary activity data across the entire value chain to meet the enhanced Scope 3 data transparency requirements for 2026.</w:t>
      </w:r>
    </w:p>
    <w:p>
      <w:pPr>
        <w:pStyle w:val="FirstParagraph"/>
      </w:pPr>
      <w:r>
        <w:t xml:space="preserve">Confidential - Internal Use Only | Page X of Y (Illustrative)</w:t>
      </w:r>
    </w:p>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seosekifdg - drwpywwgli</dc:title>
  <dc:creator/>
  <dc:description>Detailed Product Carbon Footprint (PCF) analysis report for product seosekifdg from company drwpywwgli, conducted by zsfngmpdyi, Senior Sustainability Consultant, adhering to GHG Protocol standards and 2026 updates.</dc:description>
  <dc:language>en</dc:language>
  <cp:keywords/>
  <dcterms:created xsi:type="dcterms:W3CDTF">2026-07-15T09:13:17Z</dcterms:created>
  <dcterms:modified xsi:type="dcterms:W3CDTF">2026-07-15T09:13:17Z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