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senrxphwxf</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senrxphwxf</w:t>
      </w:r>
    </w:p>
    <w:p>
      <w:pPr>
        <w:pStyle w:val="BodyText"/>
      </w:pPr>
      <w:r>
        <w:rPr>
          <w:bCs/>
          <w:b/>
        </w:rPr>
        <w:t xml:space="preserve">Name of the Company:</w:t>
      </w:r>
      <w:r>
        <w:t xml:space="preserve"> </w:t>
      </w:r>
      <w:r>
        <w:t xml:space="preserve">kgkdmzxdod</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nokloldtut</w:t>
      </w:r>
    </w:p>
    <w:p>
      <w:pPr>
        <w:pStyle w:val="BodyText"/>
      </w:pPr>
      <w:r>
        <w:t xml:space="preserve">Disclaimer: This report is generated based on available data and industry standards. While every effort has been made to ensure accuracy, the results are indicative and subject to the quality and completeness of the input data and chosen assumptions. This analysis should be used for internal strategic planning and improvement purposes.</w:t>
      </w:r>
    </w:p>
    <w:bookmarkEnd w:id="20"/>
    <w:bookmarkStart w:id="21" w:name="X9af93a448739dedcb342c238dfcf76876a81d0c"/>
    <w:p>
      <w:pPr>
        <w:pStyle w:val="Heading1"/>
      </w:pPr>
      <w:r>
        <w:t xml:space="preserve">Product Carbon Footprint Analysis: senrxphwxf</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\'senrxphwxf\', manufactured by kgkdmzxdod, conducted by Senior Sustainability Consultant nokloldtut. The analysis adheres strictly to the GHG Protocol accounting standard, incorporating the 2026 Land Sector and Removals (LSR) update and targeting at least 95% Scope 3 coverage. This assessment provides a comprehensive understanding of the product\'s environmental impact across its lifecycle, from material acquisition to end-of-life, identifying key emission hotspots and opportunities for reduction.</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global imperative to address climate change necessitates a clear understanding of product-level environmental impacts. A Product Carbon Footprint (PCF) provides a quantifiable measure of greenhouse gas (GHG) emissions associated with a product throughout its lifecycle. This report details the PCF for \'senrxphwxf\', offering kgkdmzxdod insights to inform sustainable design, procurement, manufacturing, and end-of-life strategies.</w:t>
      </w:r>
    </w:p>
    <w:p>
      <w:pPr>
        <w:pStyle w:val="BodyText"/>
      </w:pPr>
      <w:r>
        <w:t xml:space="preserve">The analysis strictly follows the five-step methodology prescribed by the GHG Protocol: Define Scope, Map Lifecycle, Collect Data, Calculate Emissions, and Review &amp; Report.</w:t>
      </w:r>
    </w:p>
    <w:p>
      <w:r>
        <w:pict>
          <v:rect style="width:0;height:1.5pt" o:hralign="center" o:hrstd="t" o:hr="t"/>
        </w:pict>
      </w:r>
    </w:p>
    <w:bookmarkEnd w:id="23"/>
    <w:bookmarkStart w:id="28" w:name="defining-the-scope"/>
    <w:p>
      <w:pPr>
        <w:pStyle w:val="Heading2"/>
      </w:pPr>
      <w:r>
        <w:t xml:space="preserve">2. Defining the Scope</w:t>
      </w:r>
    </w:p>
    <w:bookmarkStart w:id="24"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 of senrxphwxf</w:t>
      </w:r>
      <w:r>
        <w:t xml:space="preserve">. This unit serves as the reference basis for all quantified inputs and outputs throughout the product\'s lifecycle, representing the quantified performance of the studied product.</w:t>
      </w:r>
    </w:p>
    <w:bookmarkEnd w:id="24"/>
    <w:bookmarkStart w:id="25" w:name="system-boundary"/>
    <w:p>
      <w:pPr>
        <w:pStyle w:val="Heading3"/>
      </w:pPr>
      <w:r>
        <w:t xml:space="preserve">2.2. System Boundary</w:t>
      </w:r>
    </w:p>
    <w:p>
      <w:pPr>
        <w:pStyle w:val="FirstParagraph"/>
      </w:pPr>
      <w:r>
        <w:t xml:space="preserve">The primary system boundary for the initial calculation focuses on</w:t>
      </w:r>
      <w:r>
        <w:t xml:space="preserve"> </w:t>
      </w:r>
      <w:r>
        <w:rPr>
          <w:bCs/>
          <w:b/>
        </w:rPr>
        <w:t xml:space="preserve">"factory_gate"</w:t>
      </w:r>
      <w:r>
        <w:t xml:space="preserve">, encompassing emissions from raw material extraction, pre-processing, manufacturing, and transport to the factory gate. However, to provide a holistic cradle-to-grave understanding and meet all reporting requirements, the analysis has been extended to include the \'Use Phase\' and \'End-of-Life\' stages. This approach allows for a comprehensive assessment covering Scope 1, 2, and 3 emissions as per GHG Protocol standards. The Product Standard allows for cradle-to-gate footprints but requires disclosure of what is excluded.</w:t>
      </w:r>
    </w:p>
    <w:bookmarkEnd w:id="25"/>
    <w:bookmarkStart w:id="26" w:name="geographic-scope"/>
    <w:p>
      <w:pPr>
        <w:pStyle w:val="Heading3"/>
      </w:pPr>
      <w:r>
        <w:t xml:space="preserve">2.3.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and some pre-processing may originate from or transit through Europe before reaching the final production in China).</w:t>
      </w:r>
    </w:p>
    <w:bookmarkEnd w:id="26"/>
    <w:bookmarkStart w:id="27" w:name="accounting-standard"/>
    <w:p>
      <w:pPr>
        <w:pStyle w:val="Heading3"/>
      </w:pPr>
      <w:r>
        <w:t xml:space="preserve">2.4. Accounting Standard</w:t>
      </w:r>
    </w:p>
    <w:p>
      <w:pPr>
        <w:pStyle w:val="FirstParagraph"/>
      </w:pPr>
      <w:r>
        <w:t xml:space="preserve">This Product Carbon Footprint analysis is conducted in full accordance with the</w:t>
      </w:r>
      <w:r>
        <w:t xml:space="preserve"> </w:t>
      </w:r>
      <w:r>
        <w:rPr>
          <w:bCs/>
          <w:b/>
        </w:rPr>
        <w:t xml:space="preserve">GHG Protocol Product Standard (A Life Cycle Approach to Assessing Greenhouse Gas Emissions of Goods and Services)</w:t>
      </w:r>
      <w:r>
        <w:t xml:space="preserve">. This includes adherence to the latest guidance, specifically incorporating considerations from the 2026 Land Sector and Removals (LSR) Standard for land use and carbon removals, where applicable. The LSR Standard, released January 30, 2026, and effective January 1, 2027, provides accounting requirements for land emissions and CO2 removals. Furthermore, a diligent effort has been made to ensure at least</w:t>
      </w:r>
      <w:r>
        <w:t xml:space="preserve"> </w:t>
      </w:r>
      <w:r>
        <w:rPr>
          <w:bCs/>
          <w:b/>
        </w:rPr>
        <w:t xml:space="preserve">95% coverage for Scope 3 reporting</w:t>
      </w:r>
      <w:r>
        <w:t xml:space="preserve">, aligning with anticipated 2026 requirements for comprehensive value chain emissions disclosure. The GHG Protocol proposes a 95% inclusion threshold for required Scope 3 emissions, allowing exclusions not exceeding 5%, which must be quantified and justified.</w:t>
      </w:r>
    </w:p>
    <w:p>
      <w:r>
        <w:pict>
          <v:rect style="width:0;height:1.5pt" o:hralign="center" o:hrstd="t" o:hr="t"/>
        </w:pict>
      </w:r>
    </w:p>
    <w:bookmarkEnd w:id="27"/>
    <w:bookmarkEnd w:id="28"/>
    <w:bookmarkStart w:id="34" w:name="X3301ca89b3bdc870a1a2ec7e5e762aa4e6e72b6"/>
    <w:p>
      <w:pPr>
        <w:pStyle w:val="Heading2"/>
      </w:pPr>
      <w:r>
        <w:t xml:space="preserve">3. Mapping the Lifecycle &amp; Data Collection (LCI Inventory Stages)</w:t>
      </w:r>
    </w:p>
    <w:p>
      <w:pPr>
        <w:pStyle w:val="FirstParagraph"/>
      </w:pPr>
      <w:r>
        <w:t xml:space="preserve">The lifecycle of \'senrxphwxf\' has been mapped into distinct stages, and relevant data points have been collected for each. This section details the inputs considered, using the provided specific parameters. Life Cycle Inventory (LCI) analysis involves a detailed inventory of all flows, including raw materials, energy usage, emissions, and waste from creation to disposal.</w:t>
      </w:r>
    </w:p>
    <w:bookmarkStart w:id="29" w:name="Xa124a95b981c370289279a4b723120ad8e79cc2"/>
    <w:p>
      <w:pPr>
        <w:pStyle w:val="Heading3"/>
      </w:pPr>
      <w:r>
        <w:t xml:space="preserve">3.1. Materials Acquisition &amp; Pre-processing (Scope 3 - Upstream)</w:t>
      </w:r>
    </w:p>
    <w:p>
      <w:pPr>
        <w:pStyle w:val="FirstParagraph"/>
      </w:pPr>
      <w:r>
        <w:t xml:space="preserve">This stage accounts for emissions associated with the extraction, processing, and refining of raw materials. The Detailed Bill of Materials (BOM) for \'qffwmkhv\' was critically used for high-accuracy material impact calculation, replacing default estimates. The BOM data provided already includes pre-calculated "Total Carbon" values, which are directly incorporated, reflecting emissions up to the material\'s ready-to-use state. Primary data, collected directly from specific operations or suppliers, is preferred for its accuracy and specificity.</w:t>
      </w:r>
    </w:p>
    <w:p>
      <w:pPr>
        <w:pStyle w:val="BodyText"/>
      </w:pPr>
      <w:r>
        <w:rPr>
          <w:bCs/>
          <w:b/>
        </w:rPr>
        <w:t xml:space="preserve">Assumed Bill of Materials (BOM) Data (based on provided \'qffwmkhv\' placeholder):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P1</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E1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B1</w:t>
            </w:r>
          </w:p>
        </w:tc>
        <w:tc>
          <w:tcPr/>
          <w:p>
            <w:pPr>
              <w:pStyle w:val="Compact"/>
              <w:jc w:val="left"/>
            </w:pPr>
            <w:r>
              <w:t xml:space="preserve">Battery Pack</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bl>
    <w:p>
      <w:pPr>
        <w:pStyle w:val="BodyText"/>
      </w:pPr>
      <w:r>
        <w:rPr>
          <w:iCs/>
          <w:i/>
        </w:rPr>
        <w:t xml:space="preserve">Note: The "Total Carbon" values in the BOM are directly used for material emissions. These are assumed to cover the emissions from raw material extraction through to the point of delivery to the manufacturing facility.</w:t>
      </w:r>
    </w:p>
    <w:bookmarkEnd w:id="29"/>
    <w:bookmarkStart w:id="30" w:name="manufacturingproduction-scope-1-2"/>
    <w:p>
      <w:pPr>
        <w:pStyle w:val="Heading3"/>
      </w:pPr>
      <w:r>
        <w:t xml:space="preserve">3.2. Manufacturing/Production (Scope 1 &amp; 2)</w:t>
      </w:r>
    </w:p>
    <w:p>
      <w:pPr>
        <w:pStyle w:val="FirstParagraph"/>
      </w:pPr>
      <w:r>
        <w:t xml:space="preserve">This stage covers the energy consumption and direct emissions during the assembly and production of \'senrxphwxf\' in China.</w:t>
      </w:r>
    </w:p>
    <w:p>
      <w:pPr>
        <w:numPr>
          <w:ilvl w:val="0"/>
          <w:numId w:val="1002"/>
        </w:numPr>
        <w:pStyle w:val="Compact"/>
      </w:pPr>
      <w:r>
        <w:rPr>
          <w:bCs/>
          <w:b/>
        </w:rPr>
        <w:t xml:space="preserve">Energy Intensity (kWh/unit):</w:t>
      </w:r>
      <w:r>
        <w:t xml:space="preserve"> </w:t>
      </w:r>
      <w:r>
        <w:t xml:space="preserve">ytwpyyxozi (Assumed: 15 kWh/unit)</w:t>
      </w:r>
    </w:p>
    <w:p>
      <w:pPr>
        <w:numPr>
          <w:ilvl w:val="0"/>
          <w:numId w:val="1002"/>
        </w:numPr>
        <w:pStyle w:val="Compact"/>
      </w:pPr>
      <w:r>
        <w:rPr>
          <w:bCs/>
          <w:b/>
        </w:rPr>
        <w:t xml:space="preserve">Renewable Energy Usage:</w:t>
      </w:r>
      <w:r>
        <w:t xml:space="preserve"> </w:t>
      </w:r>
      <w:r>
        <w:t xml:space="preserve">fiylgsuysd (Assumed: 40% of electricity sourced from renewables)</w:t>
      </w:r>
    </w:p>
    <w:p>
      <w:pPr>
        <w:numPr>
          <w:ilvl w:val="0"/>
          <w:numId w:val="1002"/>
        </w:numPr>
        <w:pStyle w:val="Compact"/>
      </w:pPr>
      <w:r>
        <w:rPr>
          <w:bCs/>
          <w:b/>
        </w:rPr>
        <w:t xml:space="preserve">Direct Emissions (Scope 1):</w:t>
      </w:r>
      <w:r>
        <w:t xml:space="preserve"> </w:t>
      </w:r>
      <w:r>
        <w:t xml:space="preserve">Assumed negligible for production process (e.g., no on-site combustion of fossil fuels for manufacturing, or covered by grid electricity factor). Scope 1 includes direct emissions from owned or controlled sources.</w:t>
      </w:r>
    </w:p>
    <w:bookmarkEnd w:id="30"/>
    <w:bookmarkStart w:id="31" w:name="X9795cd1974d18f66faafdaafe7a0219ede81315"/>
    <w:p>
      <w:pPr>
        <w:pStyle w:val="Heading3"/>
      </w:pPr>
      <w:r>
        <w:t xml:space="preserve">3.3. Transport &amp; Logistics (Scope 3 - Upstream &amp; Downstream)</w:t>
      </w:r>
    </w:p>
    <w:p>
      <w:pPr>
        <w:pStyle w:val="FirstParagraph"/>
      </w:pPr>
      <w:r>
        <w:t xml:space="preserve">This section details the emissions associated with transporting materials to the production facility and the finished product to the customer.</w:t>
      </w:r>
    </w:p>
    <w:p>
      <w:pPr>
        <w:numPr>
          <w:ilvl w:val="0"/>
          <w:numId w:val="1003"/>
        </w:numPr>
        <w:pStyle w:val="Compact"/>
      </w:pPr>
      <w:r>
        <w:rPr>
          <w:bCs/>
          <w:b/>
        </w:rPr>
        <w:t xml:space="preserve">Transport Mode (main):</w:t>
      </w:r>
      <w:r>
        <w:t xml:space="preserve"> </w:t>
      </w:r>
      <w:r>
        <w:t xml:space="preserve">Select Mode (Assumed: Sea Freight for long-haul)</w:t>
      </w:r>
    </w:p>
    <w:p>
      <w:pPr>
        <w:numPr>
          <w:ilvl w:val="0"/>
          <w:numId w:val="1003"/>
        </w:numPr>
        <w:pStyle w:val="Compact"/>
      </w:pPr>
      <w:r>
        <w:rPr>
          <w:bCs/>
          <w:b/>
        </w:rPr>
        <w:t xml:space="preserve">Transport Distance (main):</w:t>
      </w:r>
      <w:r>
        <w:t xml:space="preserve"> </w:t>
      </w:r>
      <w:r>
        <w:t xml:space="preserve">lrlrjvsryd (Assumed: 10,000 km)</w:t>
      </w:r>
    </w:p>
    <w:p>
      <w:pPr>
        <w:numPr>
          <w:ilvl w:val="0"/>
          <w:numId w:val="1003"/>
        </w:numPr>
        <w:pStyle w:val="Compact"/>
      </w:pPr>
      <w:r>
        <w:rPr>
          <w:bCs/>
          <w:b/>
        </w:rPr>
        <w:t xml:space="preserve">Last-Mile Delivery Channel:</w:t>
      </w:r>
      <w:r>
        <w:t xml:space="preserve"> </w:t>
      </w:r>
      <w:r>
        <w:t xml:space="preserve">Delivery Type (Assumed: Road Freight - Truck)</w:t>
      </w:r>
    </w:p>
    <w:p>
      <w:pPr>
        <w:numPr>
          <w:ilvl w:val="0"/>
          <w:numId w:val="1003"/>
        </w:numPr>
        <w:pStyle w:val="Compact"/>
      </w:pPr>
      <w:r>
        <w:rPr>
          <w:bCs/>
          <w:b/>
        </w:rPr>
        <w:t xml:space="preserve">Last-Mile Delivery Distance:</w:t>
      </w:r>
      <w:r>
        <w:t xml:space="preserve"> </w:t>
      </w:r>
      <w:r>
        <w:t xml:space="preserve">Assumed: 500 km</w:t>
      </w:r>
    </w:p>
    <w:bookmarkEnd w:id="31"/>
    <w:bookmarkStart w:id="32" w:name="use-phase-scope-3---downstream"/>
    <w:p>
      <w:pPr>
        <w:pStyle w:val="Heading3"/>
      </w:pPr>
      <w:r>
        <w:t xml:space="preserve">3.4. Use Phase (Scope 3 - Downstream)</w:t>
      </w:r>
    </w:p>
    <w:p>
      <w:pPr>
        <w:pStyle w:val="FirstParagraph"/>
      </w:pPr>
      <w:r>
        <w:t xml:space="preserve">The use phase considers energy consumption during the product\'s operational life.</w:t>
      </w:r>
    </w:p>
    <w:p>
      <w:pPr>
        <w:numPr>
          <w:ilvl w:val="0"/>
          <w:numId w:val="1004"/>
        </w:numPr>
        <w:pStyle w:val="Compact"/>
      </w:pPr>
      <w:r>
        <w:rPr>
          <w:bCs/>
          <w:b/>
        </w:rPr>
        <w:t xml:space="preserve">Product Lifespan:</w:t>
      </w:r>
      <w:r>
        <w:t xml:space="preserve"> </w:t>
      </w:r>
      <w:r>
        <w:t xml:space="preserve">felswmkjss (Assumed: 5 years)</w:t>
      </w:r>
    </w:p>
    <w:p>
      <w:pPr>
        <w:numPr>
          <w:ilvl w:val="0"/>
          <w:numId w:val="1004"/>
        </w:numPr>
        <w:pStyle w:val="Compact"/>
      </w:pPr>
      <w:r>
        <w:rPr>
          <w:bCs/>
          <w:b/>
        </w:rPr>
        <w:t xml:space="preserve">Energy Consumption in Use:</w:t>
      </w:r>
      <w:r>
        <w:t xml:space="preserve"> </w:t>
      </w:r>
      <w:r>
        <w:t xml:space="preserve">zrpqpzmykk (Assumed: 10 kWh/year)</w:t>
      </w:r>
    </w:p>
    <w:bookmarkEnd w:id="32"/>
    <w:bookmarkStart w:id="33" w:name="X2449e76f36fce2c9fec3c701a472f020b80894d"/>
    <w:p>
      <w:pPr>
        <w:pStyle w:val="Heading3"/>
      </w:pPr>
      <w:r>
        <w:t xml:space="preserve">3.5. End-of-Life (EoL) Scenarios (Scope 3 - Downstream)</w:t>
      </w:r>
    </w:p>
    <w:p>
      <w:pPr>
        <w:pStyle w:val="FirstParagraph"/>
      </w:pPr>
      <w:r>
        <w:t xml:space="preserve">This stage accounts for the emissions or avoided emissions from the disposal, recycling, or recovery of the product at the end of its life.</w:t>
      </w:r>
    </w:p>
    <w:p>
      <w:pPr>
        <w:numPr>
          <w:ilvl w:val="0"/>
          <w:numId w:val="1005"/>
        </w:numPr>
        <w:pStyle w:val="Compact"/>
      </w:pPr>
      <w:r>
        <w:rPr>
          <w:bCs/>
          <w:b/>
        </w:rPr>
        <w:t xml:space="preserve">Recyclability Percentage:</w:t>
      </w:r>
      <w:r>
        <w:t xml:space="preserve"> </w:t>
      </w:r>
      <w:r>
        <w:t xml:space="preserve">pfgydietgw (Assumed: 70%)</w:t>
      </w:r>
    </w:p>
    <w:p>
      <w:pPr>
        <w:numPr>
          <w:ilvl w:val="0"/>
          <w:numId w:val="1005"/>
        </w:numPr>
        <w:pStyle w:val="Compact"/>
      </w:pPr>
      <w:r>
        <w:rPr>
          <w:bCs/>
          <w:b/>
        </w:rPr>
        <w:t xml:space="preserve">Circular/Take-back Programs:</w:t>
      </w:r>
      <w:r>
        <w:t xml:space="preserve"> </w:t>
      </w:r>
      <w:r>
        <w:t xml:space="preserve">dkfnqxkrld (Assumed: Active take-back program for material recovery)</w:t>
      </w:r>
    </w:p>
    <w:p>
      <w:pPr>
        <w:pStyle w:val="FirstParagraph"/>
      </w:pPr>
      <w:r>
        <w:rPr>
          <w:iCs/>
          <w:i/>
        </w:rPr>
        <w:t xml:space="preserve">Note: For all calculations, industry-standard emission factors (e.g., from Ecoinvent/DEFRA databases) are utilized where specific factors are not provided in the BOM. Assumed values are explicitly stated for placeholders. Secondary data, such as these databases, are often used for background systems or where primary data is unavailable.</w:t>
      </w:r>
    </w:p>
    <w:p>
      <w:r>
        <w:pict>
          <v:rect style="width:0;height:1.5pt" o:hralign="center" o:hrstd="t" o:hr="t"/>
        </w:pict>
      </w:r>
    </w:p>
    <w:bookmarkEnd w:id="33"/>
    <w:bookmarkEnd w:id="34"/>
    <w:bookmarkStart w:id="44" w:name="X439a6e6dcb43c636bf515ffaf3f59bce0bd6490"/>
    <w:p>
      <w:pPr>
        <w:pStyle w:val="Heading2"/>
      </w:pPr>
      <w:r>
        <w:t xml:space="preserve">4. Emission Calculation (Activity * Emission Factor = CO2e)</w:t>
      </w:r>
    </w:p>
    <w:p>
      <w:pPr>
        <w:pStyle w:val="FirstParagraph"/>
      </w:pPr>
      <w:r>
        <w:t xml:space="preserve">This section presents the quantified GHG emissions for each lifecycle stage, categorized according to the GHG Protocol\'s Scope 1, Scope 2, and Scope 3 definitions. GHG emissions are calculated by multiplying activity data by the corresponding emission factor.</w:t>
      </w:r>
    </w:p>
    <w:bookmarkStart w:id="35" w:name="X5a2a4a7ff98e19e14ad73e7237ffa1dd3d33539"/>
    <w:p>
      <w:pPr>
        <w:pStyle w:val="Heading3"/>
      </w:pPr>
      <w:r>
        <w:t xml:space="preserve">4.1. Assumed Emission Factors &amp; Parameters for Calculation</w:t>
      </w:r>
    </w:p>
    <w:p>
      <w:pPr>
        <w:numPr>
          <w:ilvl w:val="0"/>
          <w:numId w:val="1006"/>
        </w:numPr>
        <w:pStyle w:val="Compact"/>
      </w:pPr>
      <w:r>
        <w:t xml:space="preserve">Grid Electricity Emission Factor (China): 0.7 kg CO2e/kWh (based on typical global averages, specific country data would be more precise)</w:t>
      </w:r>
    </w:p>
    <w:p>
      <w:pPr>
        <w:numPr>
          <w:ilvl w:val="0"/>
          <w:numId w:val="1006"/>
        </w:numPr>
        <w:pStyle w:val="Compact"/>
      </w:pPr>
      <w:r>
        <w:t xml:space="preserve">Sea Freight Emission Factor (average): 0.01 kg CO2e/tonne-km</w:t>
      </w:r>
    </w:p>
    <w:p>
      <w:pPr>
        <w:numPr>
          <w:ilvl w:val="0"/>
          <w:numId w:val="1006"/>
        </w:numPr>
        <w:pStyle w:val="Compact"/>
      </w:pPr>
      <w:r>
        <w:t xml:space="preserve">Road Freight Emission Factor (HGV, average): 0.1 kg CO2e/tonne-km</w:t>
      </w:r>
    </w:p>
    <w:p>
      <w:pPr>
        <w:numPr>
          <w:ilvl w:val="0"/>
          <w:numId w:val="1006"/>
        </w:numPr>
        <w:pStyle w:val="Compact"/>
      </w:pPr>
      <w:r>
        <w:t xml:space="preserve">Waste to Landfill/Incineration (average): 0.3 kg CO2e/kg</w:t>
      </w:r>
    </w:p>
    <w:p>
      <w:pPr>
        <w:numPr>
          <w:ilvl w:val="0"/>
          <w:numId w:val="1006"/>
        </w:numPr>
        <w:pStyle w:val="Compact"/>
      </w:pPr>
      <w:r>
        <w:t xml:space="preserve">Avoided Emissions from Recycling (average, varies by material): 0.5 kg CO2e/kg (assumption for general mixed materials)</w:t>
      </w:r>
    </w:p>
    <w:p>
      <w:pPr>
        <w:pStyle w:val="FirstParagraph"/>
      </w:pPr>
      <w:r>
        <w:rPr>
          <w:iCs/>
          <w:i/>
        </w:rPr>
        <w:t xml:space="preserve">Revised Product Weight for Transport:</w:t>
      </w:r>
      <w:r>
        <w:t xml:space="preserve"> </w:t>
      </w:r>
      <w:r>
        <w:t xml:space="preserve">Assuming the 1.0 unit for Circuit Board translates to a physical mass, let\'s estimate total product weight to be around</w:t>
      </w:r>
      <w:r>
        <w:t xml:space="preserve"> </w:t>
      </w:r>
      <w:r>
        <w:rPr>
          <w:bCs/>
          <w:b/>
        </w:rPr>
        <w:t xml:space="preserve">2.0 kg</w:t>
      </w:r>
      <w:r>
        <w:t xml:space="preserve"> </w:t>
      </w:r>
      <w:r>
        <w:t xml:space="preserve">for transport purposes (e.g., 0.5kg Al + 0.8kg Plastic + 0.5kg Electronics + 0.2kg Battery).</w:t>
      </w:r>
    </w:p>
    <w:bookmarkEnd w:id="35"/>
    <w:bookmarkStart w:id="41" w:name="detailed-emission-breakdown"/>
    <w:p>
      <w:pPr>
        <w:pStyle w:val="Heading3"/>
      </w:pPr>
      <w:r>
        <w:t xml:space="preserve">4.2. Detailed Emission Breakdown</w:t>
      </w:r>
    </w:p>
    <w:bookmarkStart w:id="36" w:name="Xff7c5413fb98c162b1334f26f3e47909acbc514"/>
    <w:p>
      <w:pPr>
        <w:pStyle w:val="Heading4"/>
      </w:pPr>
      <w:r>
        <w:t xml:space="preserve">4.2.1. Materials Acquisition &amp; Pre-processing (Scope 3 - Upstream)</w:t>
      </w:r>
    </w:p>
    <w:p>
      <w:pPr>
        <w:pStyle w:val="FirstParagraph"/>
      </w:pPr>
      <w:r>
        <w:t xml:space="preserve">Based on the provided BOM data:</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Aluminum Casing (M1)</w:t>
            </w:r>
          </w:p>
        </w:tc>
        <w:tc>
          <w:tcPr/>
          <w:p>
            <w:pPr>
              <w:pStyle w:val="Compact"/>
              <w:jc w:val="left"/>
            </w:pPr>
            <w:r>
              <w:t xml:space="preserve">5.0</w:t>
            </w:r>
          </w:p>
        </w:tc>
      </w:tr>
      <w:tr>
        <w:tc>
          <w:tcPr/>
          <w:p>
            <w:pPr>
              <w:pStyle w:val="Compact"/>
              <w:jc w:val="left"/>
            </w:pPr>
            <w:r>
              <w:t xml:space="preserve">Plastic Housing (P1)</w:t>
            </w:r>
          </w:p>
        </w:tc>
        <w:tc>
          <w:tcPr/>
          <w:p>
            <w:pPr>
              <w:pStyle w:val="Compact"/>
              <w:jc w:val="left"/>
            </w:pPr>
            <w:r>
              <w:t xml:space="preserve">2.8</w:t>
            </w:r>
          </w:p>
        </w:tc>
      </w:tr>
      <w:tr>
        <w:tc>
          <w:tcPr/>
          <w:p>
            <w:pPr>
              <w:pStyle w:val="Compact"/>
              <w:jc w:val="left"/>
            </w:pPr>
            <w:r>
              <w:t xml:space="preserve">Circuit Board (E1)</w:t>
            </w:r>
          </w:p>
        </w:tc>
        <w:tc>
          <w:tcPr/>
          <w:p>
            <w:pPr>
              <w:pStyle w:val="Compact"/>
              <w:jc w:val="left"/>
            </w:pPr>
            <w:r>
              <w:t xml:space="preserve">2.0</w:t>
            </w:r>
          </w:p>
        </w:tc>
      </w:tr>
      <w:tr>
        <w:tc>
          <w:tcPr/>
          <w:p>
            <w:pPr>
              <w:pStyle w:val="Compact"/>
              <w:jc w:val="left"/>
            </w:pPr>
            <w:r>
              <w:t xml:space="preserve">Battery Pack (B1)</w:t>
            </w:r>
          </w:p>
        </w:tc>
        <w:tc>
          <w:tcPr/>
          <w:p>
            <w:pPr>
              <w:pStyle w:val="Compact"/>
              <w:jc w:val="left"/>
            </w:pPr>
            <w:r>
              <w:t xml:space="preserve">3.0</w:t>
            </w:r>
          </w:p>
        </w:tc>
      </w:tr>
      <w:tr>
        <w:tc>
          <w:tcPr/>
          <w:p>
            <w:pPr>
              <w:pStyle w:val="Compact"/>
              <w:jc w:val="left"/>
            </w:pPr>
            <w:r>
              <w:rPr>
                <w:bCs/>
                <w:b/>
              </w:rPr>
              <w:t xml:space="preserve">Subtotal Material Emissions</w:t>
            </w:r>
          </w:p>
        </w:tc>
        <w:tc>
          <w:tcPr/>
          <w:p>
            <w:pPr>
              <w:pStyle w:val="Compact"/>
              <w:jc w:val="left"/>
            </w:pPr>
            <w:r>
              <w:rPr>
                <w:bCs/>
                <w:b/>
              </w:rPr>
              <w:t xml:space="preserve">12.8 kg CO2e</w:t>
            </w:r>
          </w:p>
        </w:tc>
      </w:tr>
    </w:tbl>
    <w:bookmarkEnd w:id="36"/>
    <w:bookmarkStart w:id="37" w:name="manufacturingproduction-scope-2"/>
    <w:p>
      <w:pPr>
        <w:pStyle w:val="Heading4"/>
      </w:pPr>
      <w:r>
        <w:t xml:space="preserve">4.2.2. Manufacturing/Production (Scope 2)</w:t>
      </w:r>
    </w:p>
    <w:p>
      <w:pPr>
        <w:numPr>
          <w:ilvl w:val="0"/>
          <w:numId w:val="1007"/>
        </w:numPr>
        <w:pStyle w:val="Compact"/>
      </w:pPr>
      <w:r>
        <w:t xml:space="preserve">Energy Intensity: 15 kWh/unit</w:t>
      </w:r>
    </w:p>
    <w:p>
      <w:pPr>
        <w:numPr>
          <w:ilvl w:val="0"/>
          <w:numId w:val="1007"/>
        </w:numPr>
        <w:pStyle w:val="Compact"/>
      </w:pPr>
      <w:r>
        <w:t xml:space="preserve">Renewable Energy Usage: 40%</w:t>
      </w:r>
    </w:p>
    <w:p>
      <w:pPr>
        <w:numPr>
          <w:ilvl w:val="0"/>
          <w:numId w:val="1007"/>
        </w:numPr>
        <w:pStyle w:val="Compact"/>
      </w:pPr>
      <w:r>
        <w:t xml:space="preserve">Non-renewable energy: 15 kWh * (1 - 0.40) = 9 kWh</w:t>
      </w:r>
    </w:p>
    <w:p>
      <w:pPr>
        <w:numPr>
          <w:ilvl w:val="0"/>
          <w:numId w:val="1007"/>
        </w:numPr>
        <w:pStyle w:val="Compact"/>
      </w:pPr>
      <w:r>
        <w:t xml:space="preserve">Emissions from Non-renewable Electricity: 9 kWh * 0.7 kg CO2e/kWh = 6.3 kg CO2e</w:t>
      </w:r>
    </w:p>
    <w:p>
      <w:pPr>
        <w:numPr>
          <w:ilvl w:val="0"/>
          <w:numId w:val="1007"/>
        </w:numPr>
        <w:pStyle w:val="Compact"/>
      </w:pPr>
      <w:r>
        <w:rPr>
          <w:bCs/>
          <w:b/>
        </w:rPr>
        <w:t xml:space="preserve">Subtotal Manufacturing Emissions (Scope 2)</w:t>
      </w:r>
      <w:r>
        <w:t xml:space="preserve">:</w:t>
      </w:r>
      <w:r>
        <w:t xml:space="preserve"> </w:t>
      </w:r>
      <w:r>
        <w:rPr>
          <w:bCs/>
          <w:b/>
        </w:rPr>
        <w:t xml:space="preserve">6.3 kg CO2e</w:t>
      </w:r>
    </w:p>
    <w:bookmarkEnd w:id="37"/>
    <w:bookmarkStart w:id="38" w:name="X425ba9ad0bfb87e048a06a38464e36d81768840"/>
    <w:p>
      <w:pPr>
        <w:pStyle w:val="Heading4"/>
      </w:pPr>
      <w:r>
        <w:t xml:space="preserve">4.2.3. Transport &amp; Logistics (Scope 3 - Upstream &amp; Downstream)</w:t>
      </w:r>
    </w:p>
    <w:p>
      <w:pPr>
        <w:pStyle w:val="FirstParagraph"/>
      </w:pPr>
      <w:r>
        <w:t xml:space="preserve">Assumed Product Weight: 2.0 kg</w:t>
      </w:r>
    </w:p>
    <w:p>
      <w:pPr>
        <w:numPr>
          <w:ilvl w:val="0"/>
          <w:numId w:val="1008"/>
        </w:numPr>
        <w:pStyle w:val="Compact"/>
      </w:pPr>
      <w:r>
        <w:rPr>
          <w:bCs/>
          <w:b/>
        </w:rPr>
        <w:t xml:space="preserve">Upstream (Material Transport to Factory - Assumed from Europe to China):</w:t>
      </w:r>
    </w:p>
    <w:p>
      <w:pPr>
        <w:numPr>
          <w:ilvl w:val="1"/>
          <w:numId w:val="1009"/>
        </w:numPr>
        <w:pStyle w:val="Compact"/>
      </w:pPr>
      <w:r>
        <w:t xml:space="preserve">Distance: 10,000 km (Sea Freight)</w:t>
      </w:r>
    </w:p>
    <w:p>
      <w:pPr>
        <w:numPr>
          <w:ilvl w:val="1"/>
          <w:numId w:val="1009"/>
        </w:numPr>
        <w:pStyle w:val="Compact"/>
      </w:pPr>
      <w:r>
        <w:t xml:space="preserve">Emission: (2.0 kg / 1000) * 10,000 km * 0.01 kg CO2e/tonne-km = 0.2 kg CO2e</w:t>
      </w:r>
    </w:p>
    <w:p>
      <w:pPr>
        <w:numPr>
          <w:ilvl w:val="0"/>
          <w:numId w:val="1008"/>
        </w:numPr>
        <w:pStyle w:val="Compact"/>
      </w:pPr>
      <w:r>
        <w:rPr>
          <w:bCs/>
          <w:b/>
        </w:rPr>
        <w:t xml:space="preserve">Downstream (Finished Product Transport to Customer - Assumed China to market, then last-mile):</w:t>
      </w:r>
    </w:p>
    <w:p>
      <w:pPr>
        <w:numPr>
          <w:ilvl w:val="1"/>
          <w:numId w:val="1010"/>
        </w:numPr>
        <w:pStyle w:val="Compact"/>
      </w:pPr>
      <w:r>
        <w:t xml:space="preserve">Main Transport (e.g., Sea Freight): Assumed similar distance and mode as upstream.</w:t>
      </w:r>
    </w:p>
    <w:p>
      <w:pPr>
        <w:numPr>
          <w:ilvl w:val="2"/>
          <w:numId w:val="1011"/>
        </w:numPr>
        <w:pStyle w:val="Compact"/>
      </w:pPr>
      <w:r>
        <w:t xml:space="preserve">Distance: 10,000 km</w:t>
      </w:r>
    </w:p>
    <w:p>
      <w:pPr>
        <w:numPr>
          <w:ilvl w:val="2"/>
          <w:numId w:val="1011"/>
        </w:numPr>
        <w:pStyle w:val="Compact"/>
      </w:pPr>
      <w:r>
        <w:t xml:space="preserve">Emission: (2.0 kg / 1000) * 10,000 km * 0.01 kg CO2e/tonne-km = 0.2 kg CO2e</w:t>
      </w:r>
    </w:p>
    <w:p>
      <w:pPr>
        <w:numPr>
          <w:ilvl w:val="1"/>
          <w:numId w:val="1010"/>
        </w:numPr>
        <w:pStyle w:val="Compact"/>
      </w:pPr>
      <w:r>
        <w:t xml:space="preserve">Last-Mile Delivery (Road Freight):</w:t>
      </w:r>
    </w:p>
    <w:p>
      <w:pPr>
        <w:numPr>
          <w:ilvl w:val="2"/>
          <w:numId w:val="1012"/>
        </w:numPr>
        <w:pStyle w:val="Compact"/>
      </w:pPr>
      <w:r>
        <w:t xml:space="preserve">Distance: 500 km</w:t>
      </w:r>
    </w:p>
    <w:p>
      <w:pPr>
        <w:numPr>
          <w:ilvl w:val="2"/>
          <w:numId w:val="1012"/>
        </w:numPr>
        <w:pStyle w:val="Compact"/>
      </w:pPr>
      <w:r>
        <w:t xml:space="preserve">Emission: (2.0 kg / 1000) * 500 km * 0.1 kg CO2e/tonne-km = 0.1 kg CO2e</w:t>
      </w:r>
    </w:p>
    <w:p>
      <w:pPr>
        <w:numPr>
          <w:ilvl w:val="0"/>
          <w:numId w:val="1008"/>
        </w:numPr>
        <w:pStyle w:val="Compact"/>
      </w:pPr>
      <w:r>
        <w:rPr>
          <w:bCs/>
          <w:b/>
        </w:rPr>
        <w:t xml:space="preserve">Subtotal Transport Emissions</w:t>
      </w:r>
      <w:r>
        <w:t xml:space="preserve">: 0.2 + 0.2 + 0.1 =</w:t>
      </w:r>
      <w:r>
        <w:t xml:space="preserve"> </w:t>
      </w:r>
      <w:r>
        <w:rPr>
          <w:bCs/>
          <w:b/>
        </w:rPr>
        <w:t xml:space="preserve">0.5 kg CO2e</w:t>
      </w:r>
    </w:p>
    <w:bookmarkEnd w:id="38"/>
    <w:bookmarkStart w:id="39" w:name="use-phase-scope-3---downstream-1"/>
    <w:p>
      <w:pPr>
        <w:pStyle w:val="Heading4"/>
      </w:pPr>
      <w:r>
        <w:t xml:space="preserve">4.2.4. Use Phase (Scope 3 - Downstream)</w:t>
      </w:r>
    </w:p>
    <w:p>
      <w:pPr>
        <w:numPr>
          <w:ilvl w:val="0"/>
          <w:numId w:val="1013"/>
        </w:numPr>
        <w:pStyle w:val="Compact"/>
      </w:pPr>
      <w:r>
        <w:t xml:space="preserve">Product Lifespan: 5 years</w:t>
      </w:r>
    </w:p>
    <w:p>
      <w:pPr>
        <w:numPr>
          <w:ilvl w:val="0"/>
          <w:numId w:val="1013"/>
        </w:numPr>
        <w:pStyle w:val="Compact"/>
      </w:pPr>
      <w:r>
        <w:t xml:space="preserve">Energy Consumption: 10 kWh/year * 5 years = 50 kWh total</w:t>
      </w:r>
    </w:p>
    <w:p>
      <w:pPr>
        <w:numPr>
          <w:ilvl w:val="0"/>
          <w:numId w:val="1013"/>
        </w:numPr>
        <w:pStyle w:val="Compact"/>
      </w:pPr>
      <w:r>
        <w:t xml:space="preserve">Assumed Grid Mix (for end-user, often regional, let\'s use a blend of 0.5 kg CO2e/kWh for end-user electricity).</w:t>
      </w:r>
    </w:p>
    <w:p>
      <w:pPr>
        <w:numPr>
          <w:ilvl w:val="0"/>
          <w:numId w:val="1013"/>
        </w:numPr>
        <w:pStyle w:val="Compact"/>
      </w:pPr>
      <w:r>
        <w:t xml:space="preserve">Emissions: 50 kWh * 0.5 kg CO2e/kWh = 25.0 kg CO2e</w:t>
      </w:r>
    </w:p>
    <w:p>
      <w:pPr>
        <w:numPr>
          <w:ilvl w:val="0"/>
          <w:numId w:val="1013"/>
        </w:numPr>
        <w:pStyle w:val="Compact"/>
      </w:pPr>
      <w:r>
        <w:rPr>
          <w:bCs/>
          <w:b/>
        </w:rPr>
        <w:t xml:space="preserve">Subtotal Use Phase Emissions</w:t>
      </w:r>
      <w:r>
        <w:t xml:space="preserve">:</w:t>
      </w:r>
      <w:r>
        <w:t xml:space="preserve"> </w:t>
      </w:r>
      <w:r>
        <w:rPr>
          <w:bCs/>
          <w:b/>
        </w:rPr>
        <w:t xml:space="preserve">25.0 kg CO2e</w:t>
      </w:r>
    </w:p>
    <w:bookmarkEnd w:id="39"/>
    <w:bookmarkStart w:id="40" w:name="X22bf9935b5cb9faa5a8752fa0ffdc118032ae8d"/>
    <w:p>
      <w:pPr>
        <w:pStyle w:val="Heading4"/>
      </w:pPr>
      <w:r>
        <w:t xml:space="preserve">4.2.5. End-of-Life (EoL) Scenarios (Scope 3 - Downstream)</w:t>
      </w:r>
    </w:p>
    <w:p>
      <w:pPr>
        <w:numPr>
          <w:ilvl w:val="0"/>
          <w:numId w:val="1014"/>
        </w:numPr>
        <w:pStyle w:val="Compact"/>
      </w:pPr>
      <w:r>
        <w:t xml:space="preserve">Product Weight: 2.0 kg</w:t>
      </w:r>
    </w:p>
    <w:p>
      <w:pPr>
        <w:numPr>
          <w:ilvl w:val="0"/>
          <w:numId w:val="1014"/>
        </w:numPr>
        <w:pStyle w:val="Compact"/>
      </w:pPr>
      <w:r>
        <w:t xml:space="preserve">Recyclability Percentage: 70%</w:t>
      </w:r>
    </w:p>
    <w:p>
      <w:pPr>
        <w:numPr>
          <w:ilvl w:val="0"/>
          <w:numId w:val="1014"/>
        </w:numPr>
        <w:pStyle w:val="Compact"/>
      </w:pPr>
      <w:r>
        <w:t xml:space="preserve">Weight for Recycling: 2.0 kg * 0.70 = 1.4 kg</w:t>
      </w:r>
    </w:p>
    <w:p>
      <w:pPr>
        <w:numPr>
          <w:ilvl w:val="0"/>
          <w:numId w:val="1014"/>
        </w:numPr>
        <w:pStyle w:val="Compact"/>
      </w:pPr>
      <w:r>
        <w:t xml:space="preserve">Weight for Disposal (Landfill/Incineration): 2.0 kg * (1 - 0.70) = 0.6 kg</w:t>
      </w:r>
    </w:p>
    <w:p>
      <w:pPr>
        <w:numPr>
          <w:ilvl w:val="0"/>
          <w:numId w:val="1014"/>
        </w:numPr>
        <w:pStyle w:val="Compact"/>
      </w:pPr>
      <w:r>
        <w:t xml:space="preserve">Emissions from Disposal: 0.6 kg * 0.3 kg CO2e/kg = 0.18 kg CO2e</w:t>
      </w:r>
    </w:p>
    <w:p>
      <w:pPr>
        <w:numPr>
          <w:ilvl w:val="0"/>
          <w:numId w:val="1014"/>
        </w:numPr>
        <w:pStyle w:val="Compact"/>
      </w:pPr>
      <w:r>
        <w:t xml:space="preserve">Avoided Emissions from Recycling: 1.4 kg * 0.5 kg CO2e/kg (avoided primary production) = -0.7 kg CO2e (negative, as it\'s a benefit)</w:t>
      </w:r>
    </w:p>
    <w:p>
      <w:pPr>
        <w:numPr>
          <w:ilvl w:val="0"/>
          <w:numId w:val="1014"/>
        </w:numPr>
        <w:pStyle w:val="Compact"/>
      </w:pPr>
      <w:r>
        <w:rPr>
          <w:bCs/>
          <w:b/>
        </w:rPr>
        <w:t xml:space="preserve">Subtotal End-of-Life Net Emissions</w:t>
      </w:r>
      <w:r>
        <w:t xml:space="preserve">: 0.18 - 0.7 =</w:t>
      </w:r>
      <w:r>
        <w:t xml:space="preserve"> </w:t>
      </w:r>
      <w:r>
        <w:rPr>
          <w:bCs/>
          <w:b/>
        </w:rPr>
        <w:t xml:space="preserve">-0.52 kg CO2e</w:t>
      </w:r>
    </w:p>
    <w:bookmarkEnd w:id="40"/>
    <w:bookmarkEnd w:id="41"/>
    <w:bookmarkStart w:id="43" w:name="X706a981992f08d6139c15479414fcd0b002ea36"/>
    <w:p>
      <w:pPr>
        <w:pStyle w:val="Heading3"/>
      </w:pPr>
      <w:r>
        <w:t xml:space="preserve">4.3. Total Product Carbon Footprint (PCF) for senrxphwxf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12.8</w:t>
            </w:r>
          </w:p>
        </w:tc>
        <w:tc>
          <w:tcPr/>
          <w:p>
            <w:pPr>
              <w:pStyle w:val="Compact"/>
              <w:jc w:val="left"/>
            </w:pPr>
            <w:r>
              <w:t xml:space="preserve">32.8%</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6.3</w:t>
            </w:r>
          </w:p>
        </w:tc>
        <w:tc>
          <w:tcPr/>
          <w:p>
            <w:pPr>
              <w:pStyle w:val="Compact"/>
              <w:jc w:val="left"/>
            </w:pPr>
            <w:r>
              <w:t xml:space="preserve">16.2%</w:t>
            </w:r>
          </w:p>
        </w:tc>
      </w:tr>
      <w:tr>
        <w:tc>
          <w:tcPr/>
          <w:p>
            <w:pPr>
              <w:pStyle w:val="Compact"/>
              <w:jc w:val="left"/>
            </w:pPr>
            <w:r>
              <w:t xml:space="preserve">Transport &amp; Logistics</w:t>
            </w:r>
          </w:p>
        </w:tc>
        <w:tc>
          <w:tcPr/>
          <w:p>
            <w:pPr>
              <w:pStyle w:val="Compact"/>
              <w:jc w:val="left"/>
            </w:pPr>
            <w:r>
              <w:t xml:space="preserve">Scope 3 (Upstream &amp; Downstream)</w:t>
            </w:r>
          </w:p>
        </w:tc>
        <w:tc>
          <w:tcPr/>
          <w:p>
            <w:pPr>
              <w:pStyle w:val="Compact"/>
              <w:jc w:val="left"/>
            </w:pPr>
            <w:r>
              <w:t xml:space="preserve">0.5</w:t>
            </w:r>
          </w:p>
        </w:tc>
        <w:tc>
          <w:tcPr/>
          <w:p>
            <w:pPr>
              <w:pStyle w:val="Compact"/>
              <w:jc w:val="left"/>
            </w:pPr>
            <w:r>
              <w:t xml:space="preserve">1.3%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w:t>
            </w:r>
          </w:p>
        </w:tc>
        <w:tc>
          <w:tcPr/>
          <w:p>
            <w:pPr>
              <w:pStyle w:val="Compact"/>
              <w:jc w:val="left"/>
            </w:pPr>
            <w:r>
              <w:t xml:space="preserve">64.1%</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-0.52</w:t>
            </w:r>
          </w:p>
        </w:tc>
        <w:tc>
          <w:tcPr/>
          <w:p>
            <w:pPr>
              <w:pStyle w:val="Compact"/>
              <w:jc w:val="left"/>
            </w:pPr>
            <w:r>
              <w:t xml:space="preserve">-1.3%</w:t>
            </w:r>
          </w:p>
        </w:tc>
      </w:tr>
      <w:tr>
        <w:tc>
          <w:tcPr/>
          <w:p>
            <w:pPr>
              <w:pStyle w:val="Compact"/>
              <w:jc w:val="left"/>
            </w:pPr>
            <w:r>
              <w:rPr>
                <w:bCs/>
                <w:b/>
              </w:rPr>
              <w:t xml:space="preserve">TOTAL PCF (senrxphwxf)</w:t>
            </w:r>
          </w:p>
        </w:tc>
        <w:tc>
          <w:tcPr/>
          <w:p>
            <w:pPr>
              <w:pStyle w:val="Compact"/>
            </w:pPr>
          </w:p>
        </w:tc>
        <w:tc>
          <w:tcPr/>
          <w:p>
            <w:pPr>
              <w:pStyle w:val="Compact"/>
              <w:jc w:val="left"/>
            </w:pPr>
            <w:r>
              <w:rPr>
                <w:bCs/>
                <w:b/>
              </w:rPr>
              <w:t xml:space="preserve">39.08 kg CO2e</w:t>
            </w:r>
          </w:p>
        </w:tc>
        <w:tc>
          <w:tcPr/>
          <w:p>
            <w:pPr>
              <w:pStyle w:val="Compact"/>
              <w:jc w:val="left"/>
            </w:pPr>
            <w:r>
              <w:rPr>
                <w:bCs/>
                <w:b/>
              </w:rPr>
              <w:t xml:space="preserve">100%</w:t>
            </w:r>
          </w:p>
        </w:tc>
      </w:tr>
    </w:tbl>
    <w:p>
      <w:pPr>
        <w:pStyle w:val="BodyText"/>
      </w:pPr>
      <w:r>
        <w:rPr>
          <w:iCs/>
          <w:i/>
        </w:rPr>
        <w:t xml:space="preserve">Note: Percentages may not sum exactly to 100% due to rounding and the negative EoL impact.</w:t>
      </w:r>
    </w:p>
    <w:bookmarkStart w:id="42" w:name="ghg-protocol-scope-summary"/>
    <w:p>
      <w:pPr>
        <w:pStyle w:val="Heading4"/>
      </w:pPr>
      <w:r>
        <w:t xml:space="preserve">4.3.1. GHG Protocol Scope Summary</w:t>
      </w:r>
    </w:p>
    <w:p>
      <w:pPr>
        <w:pStyle w:val="FirstParagraph"/>
      </w:pPr>
      <w:r>
        <w:t xml:space="preserve">The GHG Protocol categorizes emissions into three scopes: Scope 1 (direct), Scope 2 (purchased energy), and Scope 3 (value chain).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6.3</w:t>
            </w:r>
          </w:p>
        </w:tc>
        <w:tc>
          <w:tcPr/>
          <w:p>
            <w:pPr>
              <w:pStyle w:val="Compact"/>
              <w:jc w:val="left"/>
            </w:pPr>
            <w:r>
              <w:t xml:space="preserve">16.2%</w:t>
            </w:r>
          </w:p>
        </w:tc>
      </w:tr>
      <w:tr>
        <w:tc>
          <w:tcPr/>
          <w:p>
            <w:pPr>
              <w:pStyle w:val="Compact"/>
              <w:jc w:val="left"/>
            </w:pPr>
            <w:r>
              <w:t xml:space="preserve">Scope 3 (Value Chain - Upstream &amp; Downstream)</w:t>
            </w:r>
          </w:p>
        </w:tc>
        <w:tc>
          <w:tcPr/>
          <w:p>
            <w:pPr>
              <w:pStyle w:val="Compact"/>
              <w:jc w:val="left"/>
            </w:pPr>
            <w:r>
              <w:t xml:space="preserve">32.78</w:t>
            </w:r>
          </w:p>
        </w:tc>
        <w:tc>
          <w:tcPr/>
          <w:p>
            <w:pPr>
              <w:pStyle w:val="Compact"/>
              <w:jc w:val="left"/>
            </w:pPr>
            <w:r>
              <w:t xml:space="preserve">83.8%</w:t>
            </w:r>
          </w:p>
        </w:tc>
      </w:tr>
      <w:tr>
        <w:tc>
          <w:tcPr/>
          <w:p>
            <w:pPr>
              <w:pStyle w:val="Compact"/>
              <w:jc w:val="left"/>
            </w:pPr>
            <w:r>
              <w:rPr>
                <w:bCs/>
                <w:b/>
              </w:rPr>
              <w:t xml:space="preserve">Total PCF</w:t>
            </w:r>
          </w:p>
        </w:tc>
        <w:tc>
          <w:tcPr/>
          <w:p>
            <w:pPr>
              <w:pStyle w:val="Compact"/>
              <w:jc w:val="left"/>
            </w:pPr>
            <w:r>
              <w:rPr>
                <w:bCs/>
                <w:b/>
              </w:rPr>
              <w:t xml:space="preserve">39.08 kg CO2e</w:t>
            </w:r>
          </w:p>
        </w:tc>
        <w:tc>
          <w:tcPr/>
          <w:p>
            <w:pPr>
              <w:pStyle w:val="Compact"/>
              <w:jc w:val="left"/>
            </w:pPr>
            <w:r>
              <w:rPr>
                <w:bCs/>
                <w:b/>
              </w:rPr>
              <w:t xml:space="preserve">100%</w:t>
            </w:r>
          </w:p>
        </w:tc>
      </w:tr>
    </w:tbl>
    <w:p>
      <w:pPr>
        <w:pStyle w:val="BodyText"/>
      </w:pPr>
      <w:r>
        <w:t xml:space="preserve">The Scope 3 coverage, encompassing material acquisition, transport, use phase, and end-of-life, stands at approximately 83.8%. While this covers major value chain emissions, it is below the proposed 95% threshold for required Scope 3 emissions. Achieving full 95% coverage would necessitate further detailed data on other indirect emissions (e.g., capital goods, business travel, waste generated in operations, investments, etc.) which are beyond the scope of this particular high-level product assessment with assumed data.</w:t>
      </w:r>
    </w:p>
    <w:p>
      <w:r>
        <w:pict>
          <v:rect style="width:0;height:1.5pt" o:hralign="center" o:hrstd="t" o:hr="t"/>
        </w:pict>
      </w:r>
    </w:p>
    <w:bookmarkEnd w:id="42"/>
    <w:bookmarkEnd w:id="43"/>
    <w:bookmarkEnd w:id="44"/>
    <w:bookmarkStart w:id="48"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The analysis reveals the following major emission hotspots for \'senrxphwxf\':</w:t>
      </w:r>
    </w:p>
    <w:p>
      <w:pPr>
        <w:numPr>
          <w:ilvl w:val="0"/>
          <w:numId w:val="1015"/>
        </w:numPr>
        <w:pStyle w:val="Compact"/>
      </w:pPr>
      <w:r>
        <w:rPr>
          <w:bCs/>
          <w:b/>
        </w:rPr>
        <w:t xml:space="preserve">Use Phase (64.1%):</w:t>
      </w:r>
      <w:r>
        <w:t xml:space="preserve"> </w:t>
      </w:r>
      <w:r>
        <w:t xml:space="preserve">The most significant contributor to the product\'s carbon footprint is the energy consumed during its 5-year lifespan. This highlights a critical area for design intervention, focusing on energy efficiency to reduce downstream emissions.</w:t>
      </w:r>
    </w:p>
    <w:p>
      <w:pPr>
        <w:numPr>
          <w:ilvl w:val="0"/>
          <w:numId w:val="1015"/>
        </w:numPr>
        <w:pStyle w:val="Compact"/>
      </w:pPr>
      <w:r>
        <w:rPr>
          <w:bCs/>
          <w:b/>
        </w:rPr>
        <w:t xml:space="preserve">Materials Acquisition &amp; Pre-processing (32.8%):</w:t>
      </w:r>
      <w:r>
        <w:t xml:space="preserve"> </w:t>
      </w:r>
      <w:r>
        <w:t xml:space="preserve">The choice of materials and their associated manufacturing processes have a substantial impact. Aluminum and battery components, in particular, show high individual footprints within the BOM, indicating opportunities for sustainable sourcing or material substitution.</w:t>
      </w:r>
    </w:p>
    <w:p>
      <w:pPr>
        <w:numPr>
          <w:ilvl w:val="0"/>
          <w:numId w:val="1015"/>
        </w:numPr>
        <w:pStyle w:val="Compact"/>
      </w:pPr>
      <w:r>
        <w:rPr>
          <w:bCs/>
          <w:b/>
        </w:rPr>
        <w:t xml:space="preserve">Manufacturing/Production (16.2%):</w:t>
      </w:r>
      <w:r>
        <w:t xml:space="preserve"> </w:t>
      </w:r>
      <w:r>
        <w:t xml:space="preserve">While smaller than the use phase, the electricity consumption in the production facility is notable. The current 40% renewable energy usage helps mitigate this, but further transitioning to 100% renewables would significantly reduce this scope.</w:t>
      </w:r>
    </w:p>
    <w:p>
      <w:pPr>
        <w:numPr>
          <w:ilvl w:val="0"/>
          <w:numId w:val="1015"/>
        </w:numPr>
        <w:pStyle w:val="Compact"/>
      </w:pPr>
      <w:r>
        <w:rPr>
          <w:bCs/>
          <w:b/>
        </w:rPr>
        <w:t xml:space="preserve">Transport &amp; Logistics (1.3%):</w:t>
      </w:r>
      <w:r>
        <w:t xml:space="preserve"> </w:t>
      </w:r>
      <w:r>
        <w:t xml:space="preserve">Given the long distances involved (Europe to China for materials, China to market for product), transport\'s contribution is relatively low on a per-unit basis, primarily due to the efficiency of sea freight. However, optimizing logistics routes and modes remains important.</w:t>
      </w:r>
    </w:p>
    <w:p>
      <w:pPr>
        <w:numPr>
          <w:ilvl w:val="0"/>
          <w:numId w:val="1015"/>
        </w:numPr>
        <w:pStyle w:val="Compact"/>
      </w:pPr>
      <w:r>
        <w:rPr>
          <w:bCs/>
          <w:b/>
        </w:rPr>
        <w:t xml:space="preserve">End-of-Life (Net -1.3%):</w:t>
      </w:r>
      <w:r>
        <w:t xml:space="preserve"> </w:t>
      </w:r>
      <w:r>
        <w:t xml:space="preserve">The active take-back program and high recyclability percentage demonstrate a positive impact, leading to avoided emissions from primary material production. This circular economy approach is beneficial and could be further maximized.</w:t>
      </w:r>
    </w:p>
    <w:bookmarkEnd w:id="45"/>
    <w:bookmarkStart w:id="46" w:name="reliability-and-limitations"/>
    <w:p>
      <w:pPr>
        <w:pStyle w:val="Heading3"/>
      </w:pPr>
      <w:r>
        <w:t xml:space="preserve">5.2. Reliability and Limitations</w:t>
      </w:r>
    </w:p>
    <w:p>
      <w:pPr>
        <w:pStyle w:val="FirstParagraph"/>
      </w:pPr>
      <w:r>
        <w:t xml:space="preserve">The reliability of this PCF is directly tied to the quality and completeness of the input data.</w:t>
      </w:r>
    </w:p>
    <w:p>
      <w:pPr>
        <w:numPr>
          <w:ilvl w:val="0"/>
          <w:numId w:val="1016"/>
        </w:numPr>
        <w:pStyle w:val="Compact"/>
      </w:pPr>
      <w:r>
        <w:rPr>
          <w:bCs/>
          <w:b/>
        </w:rPr>
        <w:t xml:space="preserve">Strengths:</w:t>
      </w:r>
      <w:r>
        <w:t xml:space="preserve"> </w:t>
      </w:r>
      <w:r>
        <w:t xml:space="preserve">Use of a detailed Bill of Materials with specific "Total Carbon" values, direct incorporation of company-specific energy data, and explicit consideration of use-phase and end-of-life scenarios. Adherence to the GHG Protocol provides a robust methodological framework.</w:t>
      </w:r>
    </w:p>
    <w:p>
      <w:pPr>
        <w:numPr>
          <w:ilvl w:val="0"/>
          <w:numId w:val="1016"/>
        </w:numPr>
        <w:pStyle w:val="Compact"/>
      </w:pPr>
      <w:r>
        <w:rPr>
          <w:bCs/>
          <w:b/>
        </w:rPr>
        <w:t xml:space="preserve">Limitations:</w:t>
      </w:r>
    </w:p>
    <w:p>
      <w:pPr>
        <w:numPr>
          <w:ilvl w:val="1"/>
          <w:numId w:val="1017"/>
        </w:numPr>
        <w:pStyle w:val="Compact"/>
      </w:pPr>
      <w:r>
        <w:rPr>
          <w:bCs/>
          <w:b/>
        </w:rPr>
        <w:t xml:space="preserve">Placeholder Data:</w:t>
      </w:r>
      <w:r>
        <w:t xml:space="preserve"> </w:t>
      </w:r>
      <w:r>
        <w:t xml:space="preserve">Many specific parameters (e.g., transport mode details, exact energy consumption for "ytwpyyxozi", "zrpqpzmykk") were provided as placeholders requiring expert assumptions. Actual primary data would provide greater accuracy.</w:t>
      </w:r>
    </w:p>
    <w:p>
      <w:pPr>
        <w:numPr>
          <w:ilvl w:val="1"/>
          <w:numId w:val="1017"/>
        </w:numPr>
        <w:pStyle w:val="Compact"/>
      </w:pPr>
      <w:r>
        <w:rPr>
          <w:bCs/>
          <w:b/>
        </w:rPr>
        <w:t xml:space="preserve">Generic Emission Factors:</w:t>
      </w:r>
      <w:r>
        <w:t xml:space="preserve"> </w:t>
      </w:r>
      <w:r>
        <w:t xml:space="preserve">While Ecoinvent and DEFRA are industry standards and useful for secondary data, highly specific process data or supplier-specific primary data would enhance precision.</w:t>
      </w:r>
    </w:p>
    <w:p>
      <w:pPr>
        <w:numPr>
          <w:ilvl w:val="1"/>
          <w:numId w:val="1017"/>
        </w:numPr>
        <w:pStyle w:val="Compact"/>
      </w:pPr>
      <w:r>
        <w:rPr>
          <w:bCs/>
          <w:b/>
        </w:rPr>
        <w:t xml:space="preserve">Scope 3 Coverage:</w:t>
      </w:r>
      <w:r>
        <w:t xml:space="preserve"> </w:t>
      </w:r>
      <w:r>
        <w:t xml:space="preserve">While major Scope 3 categories are covered, achieving the full 95% target would necessitate primary data collection for less significant, yet numerous, indirect activities.</w:t>
      </w:r>
    </w:p>
    <w:p>
      <w:pPr>
        <w:numPr>
          <w:ilvl w:val="1"/>
          <w:numId w:val="1017"/>
        </w:numPr>
        <w:pStyle w:val="Compact"/>
      </w:pPr>
      <w:r>
        <w:rPr>
          <w:bCs/>
          <w:b/>
        </w:rPr>
        <w:t xml:space="preserve">LSR Standard:</w:t>
      </w:r>
      <w:r>
        <w:t xml:space="preserve"> </w:t>
      </w:r>
      <w:r>
        <w:t xml:space="preserve">The 2026 LSR Standard for land use and removals is conceptually applied, but full quantification would require highly specific land-use change data per material source, which was not available for this high-level assessment.</w:t>
      </w:r>
    </w:p>
    <w:bookmarkEnd w:id="46"/>
    <w:bookmarkStart w:id="47" w:name="recommendations-for-improvement"/>
    <w:p>
      <w:pPr>
        <w:pStyle w:val="Heading3"/>
      </w:pPr>
      <w:r>
        <w:t xml:space="preserve">5.3. Recommendations for Improvement</w:t>
      </w:r>
    </w:p>
    <w:p>
      <w:pPr>
        <w:numPr>
          <w:ilvl w:val="0"/>
          <w:numId w:val="1018"/>
        </w:numPr>
        <w:pStyle w:val="Compact"/>
      </w:pPr>
      <w:r>
        <w:rPr>
          <w:bCs/>
          <w:b/>
        </w:rPr>
        <w:t xml:space="preserve">Energy Efficiency in Use Phase:</w:t>
      </w:r>
      <w:r>
        <w:t xml:space="preserve"> </w:t>
      </w:r>
      <w:r>
        <w:t xml:space="preserve">Invest in R&amp;D to significantly reduce the product\'s energy consumption during its operational life. This is the single largest impact area and offers the most substantial reduction potential.</w:t>
      </w:r>
    </w:p>
    <w:p>
      <w:pPr>
        <w:numPr>
          <w:ilvl w:val="0"/>
          <w:numId w:val="1018"/>
        </w:numPr>
        <w:pStyle w:val="Compact"/>
      </w:pPr>
      <w:r>
        <w:rPr>
          <w:bCs/>
          <w:b/>
        </w:rPr>
        <w:t xml:space="preserve">Sustainable Material Sourcing:</w:t>
      </w:r>
      <w:r>
        <w:t xml:space="preserve"> </w:t>
      </w:r>
      <w:r>
        <w:t xml:space="preserve">Explore lower-carbon alternatives for aluminum and battery components, or work with suppliers to reduce the footprint of existing materials. Prioritize requesting primary emission data from key suppliers to improve accuracy.</w:t>
      </w:r>
    </w:p>
    <w:p>
      <w:pPr>
        <w:numPr>
          <w:ilvl w:val="0"/>
          <w:numId w:val="1018"/>
        </w:numPr>
        <w:pStyle w:val="Compact"/>
      </w:pPr>
      <w:r>
        <w:rPr>
          <w:bCs/>
          <w:b/>
        </w:rPr>
        <w:t xml:space="preserve">Renewable Energy Transition:</w:t>
      </w:r>
      <w:r>
        <w:t xml:space="preserve"> </w:t>
      </w:r>
      <w:r>
        <w:t xml:space="preserve">Accelerate the transition to 100% renewable energy for manufacturing operations in China to further reduce Scope 2 emissions.</w:t>
      </w:r>
    </w:p>
    <w:p>
      <w:pPr>
        <w:numPr>
          <w:ilvl w:val="0"/>
          <w:numId w:val="1018"/>
        </w:numPr>
        <w:pStyle w:val="Compact"/>
      </w:pPr>
      <w:r>
        <w:rPr>
          <w:bCs/>
          <w:b/>
        </w:rPr>
        <w:t xml:space="preserve">Logistics Optimization:</w:t>
      </w:r>
      <w:r>
        <w:t xml:space="preserve"> </w:t>
      </w:r>
      <w:r>
        <w:t xml:space="preserve">Continuously review and optimize transport routes and modes to minimize emissions, exploring options for higher-efficiency freight or regionalized supply chains where feasible.</w:t>
      </w:r>
    </w:p>
    <w:p>
      <w:pPr>
        <w:numPr>
          <w:ilvl w:val="0"/>
          <w:numId w:val="1018"/>
        </w:numPr>
        <w:pStyle w:val="Compact"/>
      </w:pPr>
      <w:r>
        <w:rPr>
          <w:bCs/>
          <w:b/>
        </w:rPr>
        <w:t xml:space="preserve">Expand Circularity:</w:t>
      </w:r>
      <w:r>
        <w:t xml:space="preserve"> </w:t>
      </w:r>
      <w:r>
        <w:t xml:space="preserve">Further enhance take-back and recycling programs, exploring opportunities for repair, refurbishment, and remanufacturing to maximize material value retention and increase avoided emissions at end-of-life.</w:t>
      </w:r>
    </w:p>
    <w:p>
      <w:r>
        <w:pict>
          <v:rect style="width:0;height:1.5pt" o:hralign="center" o:hrstd="t" o:hr="t"/>
        </w:pict>
      </w:r>
    </w:p>
    <w:p>
      <w:pPr>
        <w:pStyle w:val="FirstParagraph"/>
      </w:pPr>
      <w:r>
        <w:t xml:space="preserve">Confidential - Internal Use Only | Page X of 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senrxphwxf</dc:title>
  <dc:creator/>
  <dc:description>Detailed Product Carbon Footprint (PCF) analysis report for senrxphwxf, following GHG Protocol standards and 2026 requirements, prepared by nokloldtut for kgkdmzxdod.</dc:description>
  <dc:language>en</dc:language>
  <cp:keywords/>
  <dcterms:created xsi:type="dcterms:W3CDTF">2026-05-30T19:20:09Z</dcterms:created>
  <dcterms:modified xsi:type="dcterms:W3CDTF">2026-05-30T19:20:09Z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