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seeiuszrnz</w:t>
      </w:r>
    </w:p>
    <w:bookmarkStart w:id="20" w:name="carboncalcpcf.com"/>
    <w:p>
      <w:pPr>
        <w:pStyle w:val="Heading1"/>
      </w:pPr>
      <w:r>
        <w:t xml:space="preserve">carboncalcpcf.com</w:t>
      </w:r>
    </w:p>
    <w:p>
      <w:pPr>
        <w:pStyle w:val="FirstParagraph"/>
      </w:pPr>
      <w:r>
        <w:t xml:space="preserve">Product Carbon Footprint Analysis Report</w:t>
      </w:r>
    </w:p>
    <w:bookmarkEnd w:id="20"/>
    <w:bookmarkStart w:id="21" w:name="product-seeiuszrnz"/>
    <w:p>
      <w:pPr>
        <w:pStyle w:val="Heading1"/>
      </w:pPr>
      <w:r>
        <w:t xml:space="preserve">Product: seeiuszrnz</w:t>
      </w:r>
    </w:p>
    <w:p>
      <w:pPr>
        <w:pStyle w:val="FirstParagraph"/>
      </w:pPr>
      <w:r>
        <w:rPr>
          <w:bCs/>
          <w:b/>
        </w:rPr>
        <w:t xml:space="preserve">Company:</w:t>
      </w:r>
      <w:r>
        <w:t xml:space="preserve"> </w:t>
      </w:r>
      <w:r>
        <w:t xml:space="preserve">yzfnyqjtkp</w:t>
      </w:r>
    </w:p>
    <w:p>
      <w:pPr>
        <w:pStyle w:val="BodyText"/>
      </w:pPr>
      <w:r>
        <w:rPr>
          <w:bCs/>
          <w:b/>
        </w:rPr>
        <w:t xml:space="preserve">Senior Sustainability Consultant:</w:t>
      </w:r>
      <w:r>
        <w:t xml:space="preserve"> </w:t>
      </w:r>
      <w:r>
        <w:t xml:space="preserve">skvnlmwlyj</w:t>
      </w:r>
    </w:p>
    <w:p>
      <w:pPr>
        <w:pStyle w:val="BodyText"/>
      </w:pPr>
      <w:r>
        <w:rPr>
          <w:bCs/>
          <w:b/>
        </w:rPr>
        <w:t xml:space="preserve">Accounting Standard:</w:t>
      </w:r>
      <w:r>
        <w:t xml:space="preserve"> </w:t>
      </w:r>
      <w:r>
        <w:t xml:space="preserve">GHG Protocol Product Standard</w:t>
      </w:r>
    </w:p>
    <w:p>
      <w:pPr>
        <w:pStyle w:val="BodyText"/>
      </w:pPr>
      <w:r>
        <w:t xml:space="preserve">This report is generated based on available data and industry standards, incorporating illustrative values for placeholder parameters. The numerical results represent a detailed example calculation based on stated assumptions and are subject to the accuracy and completeness of the underlying data.</w:t>
      </w:r>
    </w:p>
    <w:bookmarkEnd w:id="21"/>
    <w:bookmarkStart w:id="43" w:name="X248c6096ef2924e2c9af2cdc9eb71093d3b80ea"/>
    <w:p>
      <w:pPr>
        <w:pStyle w:val="Heading1"/>
      </w:pPr>
      <w:r>
        <w:t xml:space="preserve">Product Carbon Footprint Analysis for seeiuszrnz</w:t>
      </w:r>
    </w:p>
    <w:p>
      <w:pPr>
        <w:pStyle w:val="FirstParagraph"/>
      </w:pPr>
      <w:r>
        <w:rPr>
          <w:bCs/>
          <w:b/>
        </w:rPr>
        <w:t xml:space="preserve">Generated Date:</w:t>
      </w:r>
      <w:r>
        <w:t xml:space="preserve"> </w:t>
      </w:r>
      <w:r>
        <w:t xml:space="preserve">June 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seeiuszrnz, manufactured by yzfnyqjtkp. The assessment was conducted by skvnlmwlyj, Senior Sustainability Consultant, adhering strictly to the Greenhouse Gas (GHG) Protocol Product Life Cycle Accounting and Reporting Standard. The analysis covers the entire lifecycle of the product, from raw material acquisition (\'cradle\') to the factory gate, with further estimations for the use and end-of-life phases, thus providing a comprehensive \'cradle-to-grave\' perspective for understanding the environmental impact of seeiuszrnz. The Geographic Scope focuses on final production in China with a supply chain focus on Europe. Given the placeholder nature of some input parameters, illustrative data has been utilized to demonstrate the methodology and calculation process. The total Product Carbon Footprint for one functional unit of seeiuszrnz is estimated to be approximately</w:t>
      </w:r>
      <w:r>
        <w:t xml:space="preserve"> </w:t>
      </w:r>
      <w:r>
        <w:rPr>
          <w:bCs/>
          <w:b/>
        </w:rPr>
        <w:t xml:space="preserve">46.87 kg CO</w:t>
      </w:r>
      <w:r>
        <w:rPr>
          <w:vertAlign w:val="subscript"/>
          <w:bCs/>
          <w:b/>
        </w:rPr>
        <w:t xml:space="preserve">2</w:t>
      </w:r>
      <w:r>
        <w:rPr>
          <w:bCs/>
          <w:b/>
        </w:rPr>
        <w:t xml:space="preserve">e</w:t>
      </w:r>
      <w:r>
        <w:t xml:space="preserve">. The majority of emissions are attributed to the use phase, followed by raw material acquisition and manufacturing energy.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calculating the Product Carbon Footprint involves clearly defining the parameters of the assessment:</w:t>
      </w:r>
    </w:p>
    <w:p>
      <w:pPr>
        <w:numPr>
          <w:ilvl w:val="0"/>
          <w:numId w:val="1001"/>
        </w:numPr>
        <w:pStyle w:val="Compact"/>
      </w:pPr>
      <w:r>
        <w:rPr>
          <w:bCs/>
          <w:b/>
        </w:rPr>
        <w:t xml:space="preserve">Functional Unit:</w:t>
      </w:r>
      <w:r>
        <w:t xml:space="preserve"> </w:t>
      </w:r>
      <w:r>
        <w:t xml:space="preserve">1.0 unit of seeiuszrnz.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 Gate (Cradle-to-Gate) with additional estimations for Use Phase and End-of-Life, effectively providing a cradle-to-grave analysis. This includes all processes from raw material extraction, processing, and manufacturing, up to the point the product leaves the factory, extended to include consumer use and disposal.</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transport)</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a globally consistent approach to measure and manage product emissions.</w:t>
      </w:r>
    </w:p>
    <w:p>
      <w:pPr>
        <w:numPr>
          <w:ilvl w:val="0"/>
          <w:numId w:val="1001"/>
        </w:numPr>
        <w:pStyle w:val="Compact"/>
      </w:pPr>
      <w:r>
        <w:rPr>
          <w:bCs/>
          <w:b/>
        </w:rPr>
        <w:t xml:space="preserve">Allocation:</w:t>
      </w:r>
      <w:r>
        <w:t xml:space="preserve"> </w:t>
      </w:r>
      <w:r>
        <w:t xml:space="preserve">Where co-products or by-products are identified, emissions are allocated based on physical causality or economic value, in line with GHG Protocol guidance.</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of seeiuszrnz has been mapped across key stages, and data has been collected or estimated for each, categorized by GHG Protocol Scopes. Given the placeholder nature of some input parameters, illustrative data is used in the following tables and calculations.</w:t>
      </w:r>
    </w:p>
    <w:bookmarkStart w:id="24" w:name="X4bc291f725ee223026491cf6f7d75c185b0b492"/>
    <w:p>
      <w:pPr>
        <w:pStyle w:val="Heading3"/>
      </w:pPr>
      <w:r>
        <w:t xml:space="preserve">Detailed Bill of Materials (BOM) - Upstream (Scope 3, Category 1: Purchased Goods and Services)</w:t>
      </w:r>
    </w:p>
    <w:p>
      <w:pPr>
        <w:pStyle w:val="FirstParagraph"/>
      </w:pPr>
      <w:r>
        <w:t xml:space="preserve">The following table presents the illustrative Detailed Bill of Materials (BOM) for seeiuszrnz, incorporating specific values provided as \'etxkislv\'. These figures form the basis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e/kg)</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MAT002</w:t>
            </w:r>
          </w:p>
        </w:tc>
        <w:tc>
          <w:tcPr/>
          <w:p>
            <w:pPr>
              <w:pStyle w:val="Compact"/>
              <w:jc w:val="left"/>
            </w:pPr>
            <w:r>
              <w:t xml:space="preserve">Recycled Plastic Housing</w:t>
            </w:r>
          </w:p>
        </w:tc>
        <w:tc>
          <w:tcPr/>
          <w:p>
            <w:pPr>
              <w:pStyle w:val="Compact"/>
              <w:jc w:val="left"/>
            </w:pPr>
            <w:r>
              <w:t xml:space="preserve">Polymer</w:t>
            </w:r>
          </w:p>
        </w:tc>
        <w:tc>
          <w:tcPr/>
          <w:p>
            <w:pPr>
              <w:pStyle w:val="Compact"/>
              <w:jc w:val="left"/>
            </w:pPr>
            <w:r>
              <w:t xml:space="preserve">Recycled Content</w:t>
            </w:r>
          </w:p>
        </w:tc>
        <w:tc>
          <w:tcPr/>
          <w:p>
            <w:pPr>
              <w:pStyle w:val="Compact"/>
              <w:jc w:val="left"/>
            </w:pPr>
            <w:r>
              <w:t xml:space="preserve">0.30</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MAT003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Recycled Paper Mill</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t xml:space="preserve">Subtotal Material Emissions (Illustrative):</w:t>
            </w:r>
          </w:p>
        </w:tc>
        <w:tc>
          <w:tcPr/>
          <w:p>
            <w:pPr>
              <w:pStyle w:val="Compact"/>
              <w:jc w:val="left"/>
            </w:pPr>
            <w:r>
              <w:rPr>
                <w:bCs/>
                <w:b/>
              </w:rPr>
              <w:t xml:space="preserve">5.90 kg CO</w:t>
            </w:r>
            <w:r>
              <w:rPr>
                <w:vertAlign w:val="subscript"/>
                <w:bCs/>
                <w:b/>
              </w:rPr>
              <w:t xml:space="preserve">2</w:t>
            </w:r>
            <w:r>
              <w:rPr>
                <w:bCs/>
                <w:b/>
              </w:rPr>
              <w:t xml:space="preserve">e</w:t>
            </w:r>
          </w:p>
        </w:tc>
      </w:tr>
    </w:tbl>
    <w:bookmarkEnd w:id="24"/>
    <w:bookmarkStart w:id="25" w:name="Xcb1c279a7fd64ba6bde8e3742d39ddbe709f322"/>
    <w:p>
      <w:pPr>
        <w:pStyle w:val="Heading3"/>
      </w:pPr>
      <w:r>
        <w:t xml:space="preserve">Energy Inputs for Production (Scope 2: Purchased Electricity, Scope 1: Direct Emissions)</w:t>
      </w:r>
    </w:p>
    <w:p>
      <w:pPr>
        <w:pStyle w:val="FirstParagraph"/>
      </w:pPr>
      <w:r>
        <w:t xml:space="preserve">Production energy data, derived from \'xxikvfejkr\' and \'fqknjrzhvy\', is crucial for the manufacturing phase footprint.</w:t>
      </w:r>
    </w:p>
    <w:p>
      <w:pPr>
        <w:numPr>
          <w:ilvl w:val="0"/>
          <w:numId w:val="1003"/>
        </w:numPr>
        <w:pStyle w:val="Compact"/>
      </w:pPr>
      <w:r>
        <w:rPr>
          <w:bCs/>
          <w:b/>
        </w:rPr>
        <w:t xml:space="preserve">Energy Intensity (kWh/unit):</w:t>
      </w:r>
      <w:r>
        <w:t xml:space="preserve"> </w:t>
      </w:r>
      <w:r>
        <w:t xml:space="preserve">15 kWh/unit (Illustrative for \'fqknjrzhvy\')</w:t>
      </w:r>
    </w:p>
    <w:p>
      <w:pPr>
        <w:numPr>
          <w:ilvl w:val="0"/>
          <w:numId w:val="1003"/>
        </w:numPr>
        <w:pStyle w:val="Compact"/>
      </w:pPr>
      <w:r>
        <w:rPr>
          <w:bCs/>
          <w:b/>
        </w:rPr>
        <w:t xml:space="preserve">Renewable Energy Usage:</w:t>
      </w:r>
      <w:r>
        <w:t xml:space="preserve"> </w:t>
      </w:r>
      <w:r>
        <w:t xml:space="preserve">60% (Illustrative for \'xxikvfejkr\')</w:t>
      </w:r>
    </w:p>
    <w:p>
      <w:pPr>
        <w:numPr>
          <w:ilvl w:val="0"/>
          <w:numId w:val="1003"/>
        </w:numPr>
        <w:pStyle w:val="Compact"/>
      </w:pPr>
      <w:r>
        <w:rPr>
          <w:bCs/>
          <w:b/>
        </w:rPr>
        <w:t xml:space="preserve">Non-Renewable Energy Usage:</w:t>
      </w:r>
      <w:r>
        <w:t xml:space="preserve"> </w:t>
      </w:r>
      <w:r>
        <w:t xml:space="preserve">15 kWh/unit * (1 - 0.60) = 6 kWh/unit</w:t>
      </w:r>
    </w:p>
    <w:p>
      <w:pPr>
        <w:numPr>
          <w:ilvl w:val="0"/>
          <w:numId w:val="1003"/>
        </w:numPr>
        <w:pStyle w:val="Compact"/>
      </w:pPr>
      <w:r>
        <w:rPr>
          <w:bCs/>
          <w:b/>
        </w:rPr>
        <w:t xml:space="preserve">China Grid Electricity Emission Factor:</w:t>
      </w:r>
      <w:r>
        <w:t xml:space="preserve"> </w:t>
      </w:r>
      <w:r>
        <w:t xml:space="preserve">Approximately 0.6144 kg CO</w:t>
      </w:r>
      <w:r>
        <w:rPr>
          <w:vertAlign w:val="subscript"/>
        </w:rPr>
        <w:t xml:space="preserve">2</w:t>
      </w:r>
      <w:r>
        <w:t xml:space="preserve">e/kWh (Based on projected factors for 2025-2030, which account for China\'s changing energy mix.)</w:t>
      </w:r>
    </w:p>
    <w:p>
      <w:pPr>
        <w:numPr>
          <w:ilvl w:val="0"/>
          <w:numId w:val="1003"/>
        </w:numPr>
        <w:pStyle w:val="Compact"/>
      </w:pPr>
      <w:r>
        <w:rPr>
          <w:bCs/>
          <w:b/>
        </w:rPr>
        <w:t xml:space="preserve">Direct Emissions (Scope 1):</w:t>
      </w:r>
      <w:r>
        <w:t xml:space="preserve"> </w:t>
      </w:r>
      <w:r>
        <w:t xml:space="preserve">Assumed negligible or minor on-site fuel combustion for auxiliary processes, e.g., 0.1 kg CO</w:t>
      </w:r>
      <w:r>
        <w:rPr>
          <w:vertAlign w:val="subscript"/>
        </w:rPr>
        <w:t xml:space="preserve">2</w:t>
      </w:r>
      <w:r>
        <w:t xml:space="preserve">e/unit (Illustrative).</w:t>
      </w:r>
    </w:p>
    <w:bookmarkEnd w:id="25"/>
    <w:bookmarkStart w:id="26" w:name="X2ed737c0ce3051411e6fbac1176eff66967cf40"/>
    <w:p>
      <w:pPr>
        <w:pStyle w:val="Heading3"/>
      </w:pPr>
      <w:r>
        <w:t xml:space="preserve">Logistics Data (Scope 3, Category 4: Upstream Transportation and Distribution; Category 9: Downstream Transportation and Distribution)</w:t>
      </w:r>
    </w:p>
    <w:p>
      <w:pPr>
        <w:pStyle w:val="FirstParagraph"/>
      </w:pPr>
      <w:r>
        <w:t xml:space="preserve">Logistics data, incorporating \'Select Mode\', \'ylysgxypmv\', and \'Delivery Type\', are included for comprehensive supply chain analysis.</w:t>
      </w:r>
    </w:p>
    <w:p>
      <w:pPr>
        <w:numPr>
          <w:ilvl w:val="0"/>
          <w:numId w:val="1004"/>
        </w:numPr>
        <w:pStyle w:val="Compact"/>
      </w:pPr>
      <w:r>
        <w:rPr>
          <w:bCs/>
          <w:b/>
        </w:rPr>
        <w:t xml:space="preserve">Product Weight (Illustrative for transport calculations):</w:t>
      </w:r>
      <w:r>
        <w:t xml:space="preserve"> </w:t>
      </w:r>
      <w:r>
        <w:t xml:space="preserve">1.5 kg per unit</w:t>
      </w:r>
    </w:p>
    <w:p>
      <w:pPr>
        <w:numPr>
          <w:ilvl w:val="0"/>
          <w:numId w:val="1004"/>
        </w:numPr>
        <w:pStyle w:val="Compact"/>
      </w:pPr>
      <w:r>
        <w:rPr>
          <w:bCs/>
          <w:b/>
        </w:rPr>
        <w:t xml:space="preserve">Upstream Transport (Materials from Europe to China):</w:t>
      </w:r>
    </w:p>
    <w:p>
      <w:pPr>
        <w:numPr>
          <w:ilvl w:val="1"/>
          <w:numId w:val="1005"/>
        </w:numPr>
        <w:pStyle w:val="Compact"/>
      </w:pPr>
      <w:r>
        <w:rPr>
          <w:bCs/>
          <w:b/>
        </w:rPr>
        <w:t xml:space="preserve">Mode (Illustrative for \'Select Mode\'):</w:t>
      </w:r>
      <w:r>
        <w:t xml:space="preserve"> </w:t>
      </w:r>
      <w:r>
        <w:t xml:space="preserve">Intercontinental Ocean Freight (Container Ship)</w:t>
      </w:r>
    </w:p>
    <w:p>
      <w:pPr>
        <w:numPr>
          <w:ilvl w:val="1"/>
          <w:numId w:val="1005"/>
        </w:numPr>
        <w:pStyle w:val="Compact"/>
      </w:pPr>
      <w:r>
        <w:rPr>
          <w:bCs/>
          <w:b/>
        </w:rPr>
        <w:t xml:space="preserve">Distance (Illustrative for \'ylysgxypmv\'):</w:t>
      </w:r>
      <w:r>
        <w:t xml:space="preserve"> </w:t>
      </w:r>
      <w:r>
        <w:t xml:space="preserve">8,000 km</w:t>
      </w:r>
    </w:p>
    <w:p>
      <w:pPr>
        <w:numPr>
          <w:ilvl w:val="1"/>
          <w:numId w:val="1005"/>
        </w:numPr>
        <w:pStyle w:val="Compact"/>
      </w:pPr>
      <w:r>
        <w:rPr>
          <w:bCs/>
          <w:b/>
        </w:rPr>
        <w:t xml:space="preserve">Emission Factor (Illustrative, e.g., from DEFRA/Ecoinvent):</w:t>
      </w:r>
      <w:r>
        <w:t xml:space="preserve"> </w:t>
      </w:r>
      <w:r>
        <w:t xml:space="preserve">0.01 kg CO</w:t>
      </w:r>
      <w:r>
        <w:rPr>
          <w:vertAlign w:val="subscript"/>
        </w:rPr>
        <w:t xml:space="preserve">2</w:t>
      </w:r>
      <w:r>
        <w:t xml:space="preserve">e/tonne-km</w:t>
      </w:r>
    </w:p>
    <w:p>
      <w:pPr>
        <w:numPr>
          <w:ilvl w:val="0"/>
          <w:numId w:val="1004"/>
        </w:numPr>
        <w:pStyle w:val="Compact"/>
      </w:pPr>
      <w:r>
        <w:rPr>
          <w:bCs/>
          <w:b/>
        </w:rPr>
        <w:t xml:space="preserve">Downstream Transport (Factory in China to Distribution Hub):</w:t>
      </w:r>
    </w:p>
    <w:p>
      <w:pPr>
        <w:numPr>
          <w:ilvl w:val="1"/>
          <w:numId w:val="1006"/>
        </w:numPr>
        <w:pStyle w:val="Compact"/>
      </w:pPr>
      <w:r>
        <w:rPr>
          <w:bCs/>
          <w:b/>
        </w:rPr>
        <w:t xml:space="preserve">Mode (Illustrative for \'Delivery Type\'):</w:t>
      </w:r>
      <w:r>
        <w:t xml:space="preserve"> </w:t>
      </w:r>
      <w:r>
        <w:t xml:space="preserve">Road Freight (Heavy Duty Truck)</w:t>
      </w:r>
    </w:p>
    <w:p>
      <w:pPr>
        <w:numPr>
          <w:ilvl w:val="1"/>
          <w:numId w:val="1006"/>
        </w:numPr>
        <w:pStyle w:val="Compact"/>
      </w:pPr>
      <w:r>
        <w:rPr>
          <w:bCs/>
          <w:b/>
        </w:rPr>
        <w:t xml:space="preserve">Distance (Illustrative for \'ylysgxypmv\'):</w:t>
      </w:r>
      <w:r>
        <w:t xml:space="preserve"> </w:t>
      </w:r>
      <w:r>
        <w:t xml:space="preserve">500 km</w:t>
      </w:r>
    </w:p>
    <w:p>
      <w:pPr>
        <w:numPr>
          <w:ilvl w:val="1"/>
          <w:numId w:val="1006"/>
        </w:numPr>
        <w:pStyle w:val="Compact"/>
      </w:pPr>
      <w:r>
        <w:rPr>
          <w:bCs/>
          <w:b/>
        </w:rPr>
        <w:t xml:space="preserve">Emission Factor (Illustrative, e.g., from DEFRA/Ecoinvent):</w:t>
      </w:r>
      <w:r>
        <w:t xml:space="preserve"> </w:t>
      </w:r>
      <w:r>
        <w:t xml:space="preserve">0.08 kg CO</w:t>
      </w:r>
      <w:r>
        <w:rPr>
          <w:vertAlign w:val="subscript"/>
        </w:rPr>
        <w:t xml:space="preserve">2</w:t>
      </w:r>
      <w:r>
        <w:t xml:space="preserve">e/tonne-km</w:t>
      </w:r>
    </w:p>
    <w:p>
      <w:pPr>
        <w:numPr>
          <w:ilvl w:val="0"/>
          <w:numId w:val="1004"/>
        </w:numPr>
        <w:pStyle w:val="Compact"/>
      </w:pPr>
      <w:r>
        <w:rPr>
          <w:bCs/>
          <w:b/>
        </w:rPr>
        <w:t xml:space="preserve">Last-Mile Delivery (Distribution Hub to Customer):</w:t>
      </w:r>
    </w:p>
    <w:p>
      <w:pPr>
        <w:numPr>
          <w:ilvl w:val="1"/>
          <w:numId w:val="1007"/>
        </w:numPr>
        <w:pStyle w:val="Compact"/>
      </w:pPr>
      <w:r>
        <w:rPr>
          <w:bCs/>
          <w:b/>
        </w:rPr>
        <w:t xml:space="preserve">Channel (Illustrative for \'Delivery Type\'):</w:t>
      </w:r>
      <w:r>
        <w:t xml:space="preserve"> </w:t>
      </w:r>
      <w:r>
        <w:t xml:space="preserve">Small Van Delivery (Diesel)</w:t>
      </w:r>
    </w:p>
    <w:p>
      <w:pPr>
        <w:numPr>
          <w:ilvl w:val="1"/>
          <w:numId w:val="1007"/>
        </w:numPr>
        <w:pStyle w:val="Compact"/>
      </w:pPr>
      <w:r>
        <w:rPr>
          <w:bCs/>
          <w:b/>
        </w:rPr>
        <w:t xml:space="preserve">Distance (Illustrative, average for \'ylysgxypmv\'):</w:t>
      </w:r>
      <w:r>
        <w:t xml:space="preserve"> </w:t>
      </w:r>
      <w:r>
        <w:t xml:space="preserve">100 km</w:t>
      </w:r>
    </w:p>
    <w:p>
      <w:pPr>
        <w:numPr>
          <w:ilvl w:val="1"/>
          <w:numId w:val="1007"/>
        </w:numPr>
        <w:pStyle w:val="Compact"/>
      </w:pPr>
      <w:r>
        <w:rPr>
          <w:bCs/>
          <w:b/>
        </w:rPr>
        <w:t xml:space="preserve">Emission Factor (Illustrative, e.g., from DEFRA/Ecoinvent):</w:t>
      </w:r>
      <w:r>
        <w:t xml:space="preserve"> </w:t>
      </w:r>
      <w:r>
        <w:t xml:space="preserve">0.20 kg CO</w:t>
      </w:r>
      <w:r>
        <w:rPr>
          <w:vertAlign w:val="subscript"/>
        </w:rPr>
        <w:t xml:space="preserve">2</w:t>
      </w:r>
      <w:r>
        <w:t xml:space="preserve">e/tonne-km</w:t>
      </w:r>
    </w:p>
    <w:bookmarkEnd w:id="26"/>
    <w:bookmarkStart w:id="27" w:name="X9c47a088dc2010630d22d37d8f68ea322772e33"/>
    <w:p>
      <w:pPr>
        <w:pStyle w:val="Heading3"/>
      </w:pPr>
      <w:r>
        <w:t xml:space="preserve">Use Phase Data (Scope 3, Category 11: Use of Sold Products)</w:t>
      </w:r>
    </w:p>
    <w:p>
      <w:pPr>
        <w:pStyle w:val="FirstParagraph"/>
      </w:pPr>
      <w:r>
        <w:t xml:space="preserve">Detailed durability and consumption data, from \'jfnirdwmsy\' and \'nzmkipqffn\', enhances the \'Use Phase\' calculation.</w:t>
      </w:r>
    </w:p>
    <w:p>
      <w:pPr>
        <w:numPr>
          <w:ilvl w:val="0"/>
          <w:numId w:val="1008"/>
        </w:numPr>
        <w:pStyle w:val="Compact"/>
      </w:pPr>
      <w:r>
        <w:rPr>
          <w:bCs/>
          <w:b/>
        </w:rPr>
        <w:t xml:space="preserve">Product Lifespan (Illustrative for \'jfnirdwmsy\'):</w:t>
      </w:r>
      <w:r>
        <w:t xml:space="preserve"> </w:t>
      </w:r>
      <w:r>
        <w:t xml:space="preserve">3 years</w:t>
      </w:r>
    </w:p>
    <w:p>
      <w:pPr>
        <w:numPr>
          <w:ilvl w:val="0"/>
          <w:numId w:val="1008"/>
        </w:numPr>
        <w:pStyle w:val="Compact"/>
      </w:pPr>
      <w:r>
        <w:rPr>
          <w:bCs/>
          <w:b/>
        </w:rPr>
        <w:t xml:space="preserve">Energy Consumption in Use (Illustrative for \'nzmkipqffn\'):</w:t>
      </w:r>
      <w:r>
        <w:t xml:space="preserve"> </w:t>
      </w:r>
      <w:r>
        <w:t xml:space="preserve">20 kWh/year</w:t>
      </w:r>
    </w:p>
    <w:p>
      <w:pPr>
        <w:numPr>
          <w:ilvl w:val="0"/>
          <w:numId w:val="1008"/>
        </w:numPr>
        <w:pStyle w:val="Compact"/>
      </w:pPr>
      <w:r>
        <w:rPr>
          <w:bCs/>
          <w:b/>
        </w:rPr>
        <w:t xml:space="preserve">Electricity Source for Use Phase:</w:t>
      </w:r>
      <w:r>
        <w:t xml:space="preserve"> </w:t>
      </w:r>
      <w:r>
        <w:t xml:space="preserve">Assumed China grid mix for illustrative purposes (0.6144 kg CO</w:t>
      </w:r>
      <w:r>
        <w:rPr>
          <w:vertAlign w:val="subscript"/>
        </w:rPr>
        <w:t xml:space="preserve">2</w:t>
      </w:r>
      <w:r>
        <w:t xml:space="preserve">e/kWh).</w:t>
      </w:r>
    </w:p>
    <w:bookmarkEnd w:id="27"/>
    <w:bookmarkStart w:id="28" w:name="X22f9dae0edae5a4ebf0dcf5b8ca74de2c6ea5a4"/>
    <w:p>
      <w:pPr>
        <w:pStyle w:val="Heading3"/>
      </w:pPr>
      <w:r>
        <w:t xml:space="preserve">End-of-Life (EoL) Scenarios (Scope 3, Category 12: End-of-Life Treatment of Sold Products)</w:t>
      </w:r>
    </w:p>
    <w:p>
      <w:pPr>
        <w:pStyle w:val="FirstParagraph"/>
      </w:pPr>
      <w:r>
        <w:t xml:space="preserve">EoL scenarios, incorporating \'gjtillzlzd\' and \'fzyqsywejv\', reflect circular economy impacts.</w:t>
      </w:r>
    </w:p>
    <w:p>
      <w:pPr>
        <w:numPr>
          <w:ilvl w:val="0"/>
          <w:numId w:val="1009"/>
        </w:numPr>
        <w:pStyle w:val="Compact"/>
      </w:pPr>
      <w:r>
        <w:rPr>
          <w:bCs/>
          <w:b/>
        </w:rPr>
        <w:t xml:space="preserve">Recyclability Percentage (Illustrative for \'gjtillzlzd\'):</w:t>
      </w:r>
      <w:r>
        <w:t xml:space="preserve"> </w:t>
      </w:r>
      <w:r>
        <w:t xml:space="preserve">85%</w:t>
      </w:r>
    </w:p>
    <w:p>
      <w:pPr>
        <w:numPr>
          <w:ilvl w:val="0"/>
          <w:numId w:val="1009"/>
        </w:numPr>
        <w:pStyle w:val="Compact"/>
      </w:pPr>
      <w:r>
        <w:rPr>
          <w:bCs/>
          <w:b/>
        </w:rPr>
        <w:t xml:space="preserve">Circular/Take-back Programs (Illustrative for \'fzyqsywejv\'):</w:t>
      </w:r>
      <w:r>
        <w:t xml:space="preserve"> </w:t>
      </w:r>
      <w:r>
        <w:t xml:space="preserve">Active Take-back Program implemented.</w:t>
      </w:r>
    </w:p>
    <w:p>
      <w:pPr>
        <w:numPr>
          <w:ilvl w:val="0"/>
          <w:numId w:val="1009"/>
        </w:numPr>
        <w:pStyle w:val="Compact"/>
      </w:pPr>
      <w:r>
        <w:rPr>
          <w:bCs/>
          <w:b/>
        </w:rPr>
        <w:t xml:space="preserve">Disposal Emission Factor (Illustrative for non-recycled waste, e.g., landfill):</w:t>
      </w:r>
      <w:r>
        <w:t xml:space="preserve"> </w:t>
      </w:r>
      <w:r>
        <w:t xml:space="preserve">0.5 kg CO</w:t>
      </w:r>
      <w:r>
        <w:rPr>
          <w:vertAlign w:val="subscript"/>
        </w:rPr>
        <w:t xml:space="preserve">2</w:t>
      </w:r>
      <w:r>
        <w:t xml:space="preserve">e/kg (for net emissions after accounting for avoided emissions from recycling).</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are calculated by multiplying activity data by relevant emission factors. Industry-standard emission factors from databases like Ecoinvent and DEFRA have been conceptually applied where primary data or specific factors for placeholders were unavailable.</w:t>
      </w:r>
    </w:p>
    <w:p>
      <w:pPr>
        <w:pStyle w:val="BodyText"/>
      </w:pPr>
      <w:r>
        <w:t xml:space="preserve">The total Product Carbon Footprint for seeiuszrnz (per 1.0 unit) is broken down by GHG Protocol Scopes:</w:t>
      </w:r>
    </w:p>
    <w:bookmarkStart w:id="30" w:name="Xa5e05c0e793b2e3b8927cb1b228e81f97f2094b"/>
    <w:p>
      <w:pPr>
        <w:pStyle w:val="Heading3"/>
      </w:pPr>
      <w:r>
        <w:t xml:space="preserve">Scope 1 Emissions (Direct Emissions from Owned or Controlled Sources)</w:t>
      </w:r>
    </w:p>
    <w:p>
      <w:pPr>
        <w:numPr>
          <w:ilvl w:val="0"/>
          <w:numId w:val="1010"/>
        </w:numPr>
        <w:pStyle w:val="Compact"/>
      </w:pPr>
      <w:r>
        <w:t xml:space="preserve">Minor on-site fuel combustion (e.g., heating, small process equipment):</w:t>
      </w:r>
      <w:r>
        <w:t xml:space="preserve"> </w:t>
      </w:r>
      <w:r>
        <w:rPr>
          <w:bCs/>
          <w:b/>
        </w:rPr>
        <w:t xml:space="preserve">0.10 kg CO</w:t>
      </w:r>
      <w:r>
        <w:rPr>
          <w:vertAlign w:val="subscript"/>
          <w:bCs/>
          <w:b/>
        </w:rPr>
        <w:t xml:space="preserve">2</w:t>
      </w:r>
      <w:r>
        <w:rPr>
          <w:bCs/>
          <w:b/>
        </w:rPr>
        <w:t xml:space="preserve">e</w:t>
      </w:r>
      <w:r>
        <w:t xml:space="preserve"> </w:t>
      </w:r>
      <w:r>
        <w:t xml:space="preserve">(Illustrative).</w:t>
      </w:r>
    </w:p>
    <w:bookmarkEnd w:id="30"/>
    <w:bookmarkStart w:id="31" w:name="X1bd5ed5ba51603fe7fc5fd46de6dc3081dfffbb"/>
    <w:p>
      <w:pPr>
        <w:pStyle w:val="Heading3"/>
      </w:pPr>
      <w:r>
        <w:t xml:space="preserve">Scope 2 Emissions (Indirect Emissions from Purchased Energy)</w:t>
      </w:r>
    </w:p>
    <w:p>
      <w:pPr>
        <w:numPr>
          <w:ilvl w:val="0"/>
          <w:numId w:val="1011"/>
        </w:numPr>
        <w:pStyle w:val="Compact"/>
      </w:pPr>
      <w:r>
        <w:t xml:space="preserve">Electricity for manufacturing operations: 6 kWh/unit (non-renewable portion) * 0.6144 kg CO</w:t>
      </w:r>
      <w:r>
        <w:rPr>
          <w:vertAlign w:val="subscript"/>
        </w:rPr>
        <w:t xml:space="preserve">2</w:t>
      </w:r>
      <w:r>
        <w:t xml:space="preserve">e/kWh =</w:t>
      </w:r>
      <w:r>
        <w:t xml:space="preserve"> </w:t>
      </w:r>
      <w:r>
        <w:rPr>
          <w:bCs/>
          <w:b/>
        </w:rPr>
        <w:t xml:space="preserve">3.69 kg CO</w:t>
      </w:r>
      <w:r>
        <w:rPr>
          <w:vertAlign w:val="subscript"/>
          <w:bCs/>
          <w:b/>
        </w:rPr>
        <w:t xml:space="preserve">2</w:t>
      </w:r>
      <w:r>
        <w:rPr>
          <w:bCs/>
          <w:b/>
        </w:rPr>
        <w:t xml:space="preserve">e</w:t>
      </w:r>
      <w:r>
        <w:t xml:space="preserve">.</w:t>
      </w:r>
    </w:p>
    <w:bookmarkEnd w:id="31"/>
    <w:bookmarkStart w:id="34" w:name="X46250fd30eed509498187cc297ed014d6bf809a"/>
    <w:p>
      <w:pPr>
        <w:pStyle w:val="Heading3"/>
      </w:pPr>
      <w:r>
        <w:t xml:space="preserve">Scope 3 Emissions (All Other Indirect Emissions Across the Value Chain)</w:t>
      </w:r>
    </w:p>
    <w:p>
      <w:pPr>
        <w:pStyle w:val="FirstParagraph"/>
      </w:pPr>
      <w:r>
        <w:t xml:space="preserve">Scope 3 emissions are typically the largest portion of a product\'s footprint and are critical for a comprehensive PCF.</w:t>
      </w:r>
    </w:p>
    <w:bookmarkStart w:id="32" w:name="upstream-activities"/>
    <w:p>
      <w:pPr>
        <w:pStyle w:val="Heading4"/>
      </w:pPr>
      <w:r>
        <w:t xml:space="preserve">Upstream Activities:</w:t>
      </w:r>
    </w:p>
    <w:p>
      <w:pPr>
        <w:numPr>
          <w:ilvl w:val="0"/>
          <w:numId w:val="1012"/>
        </w:numPr>
        <w:pStyle w:val="Compact"/>
      </w:pPr>
      <w:r>
        <w:rPr>
          <w:bCs/>
          <w:b/>
        </w:rPr>
        <w:t xml:space="preserve">Category 1: Purchased Goods and Services (Materials):</w:t>
      </w:r>
    </w:p>
    <w:p>
      <w:pPr>
        <w:numPr>
          <w:ilvl w:val="1"/>
          <w:numId w:val="1013"/>
        </w:numPr>
        <w:pStyle w:val="Compact"/>
      </w:pPr>
      <w:r>
        <w:t xml:space="preserve">Total from BOM (illustrative):</w:t>
      </w:r>
      <w:r>
        <w:t xml:space="preserve"> </w:t>
      </w:r>
      <w:r>
        <w:rPr>
          <w:bCs/>
          <w:b/>
        </w:rPr>
        <w:t xml:space="preserve">5.90 kg CO</w:t>
      </w:r>
      <w:r>
        <w:rPr>
          <w:vertAlign w:val="subscript"/>
          <w:bCs/>
          <w:b/>
        </w:rPr>
        <w:t xml:space="preserve">2</w:t>
      </w:r>
      <w:r>
        <w:rPr>
          <w:bCs/>
          <w:b/>
        </w:rPr>
        <w:t xml:space="preserve">e</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Intercontinental Ocean Freight: (1.5 kg / 1000) * 8,000 km * 0.01 kg CO</w:t>
      </w:r>
      <w:r>
        <w:rPr>
          <w:vertAlign w:val="subscript"/>
        </w:rPr>
        <w:t xml:space="preserve">2</w:t>
      </w:r>
      <w:r>
        <w:t xml:space="preserve">e/tonne-km =</w:t>
      </w:r>
      <w:r>
        <w:t xml:space="preserve"> </w:t>
      </w:r>
      <w:r>
        <w:rPr>
          <w:bCs/>
          <w:b/>
        </w:rPr>
        <w:t xml:space="preserve">0.12 kg CO</w:t>
      </w:r>
      <w:r>
        <w:rPr>
          <w:vertAlign w:val="subscript"/>
          <w:bCs/>
          <w:b/>
        </w:rPr>
        <w:t xml:space="preserve">2</w:t>
      </w:r>
      <w:r>
        <w:rPr>
          <w:bCs/>
          <w:b/>
        </w:rPr>
        <w:t xml:space="preserve">e</w:t>
      </w:r>
      <w:r>
        <w:t xml:space="preserve"> </w:t>
      </w:r>
      <w:r>
        <w:t xml:space="preserve">(Illustrative)</w:t>
      </w:r>
    </w:p>
    <w:p>
      <w:pPr>
        <w:numPr>
          <w:ilvl w:val="0"/>
          <w:numId w:val="1012"/>
        </w:numPr>
        <w:pStyle w:val="Compact"/>
      </w:pPr>
      <w:r>
        <w:t xml:space="preserve">*Other Upstream Scope 3 categories (e.g., capital goods, waste generated in operations) are assumed negligible or included within material emission factors for this high-level analysis.*</w:t>
      </w:r>
    </w:p>
    <w:p>
      <w:pPr>
        <w:pStyle w:val="FirstParagraph"/>
      </w:pPr>
      <w:r>
        <w:rPr>
          <w:bCs/>
          <w:b/>
        </w:rPr>
        <w:t xml:space="preserve">Total Upstream Scope 3 Emissions: 6.02 kg CO</w:t>
      </w:r>
      <w:r>
        <w:rPr>
          <w:vertAlign w:val="subscript"/>
          <w:bCs/>
          <w:b/>
        </w:rPr>
        <w:t xml:space="preserve">2</w:t>
      </w:r>
      <w:r>
        <w:rPr>
          <w:bCs/>
          <w:b/>
        </w:rPr>
        <w:t xml:space="preserve">e</w:t>
      </w:r>
    </w:p>
    <w:bookmarkEnd w:id="32"/>
    <w:bookmarkStart w:id="33" w:name="downstream-activities"/>
    <w:p>
      <w:pPr>
        <w:pStyle w:val="Heading4"/>
      </w:pPr>
      <w:r>
        <w:t xml:space="preserve">Downstream Activities:</w:t>
      </w:r>
    </w:p>
    <w:p>
      <w:pPr>
        <w:numPr>
          <w:ilvl w:val="0"/>
          <w:numId w:val="1015"/>
        </w:numPr>
        <w:pStyle w:val="Compact"/>
      </w:pPr>
      <w:r>
        <w:rPr>
          <w:bCs/>
          <w:b/>
        </w:rPr>
        <w:t xml:space="preserve">Category 9: Downstream Transportation and Distribution:</w:t>
      </w:r>
    </w:p>
    <w:p>
      <w:pPr>
        <w:numPr>
          <w:ilvl w:val="1"/>
          <w:numId w:val="1016"/>
        </w:numPr>
        <w:pStyle w:val="Compact"/>
      </w:pPr>
      <w:r>
        <w:t xml:space="preserve">Road Freight (Factory to Distribution Hub): (1.5 kg / 1000) * 500 km * 0.08 kg CO</w:t>
      </w:r>
      <w:r>
        <w:rPr>
          <w:vertAlign w:val="subscript"/>
        </w:rPr>
        <w:t xml:space="preserve">2</w:t>
      </w:r>
      <w:r>
        <w:t xml:space="preserve">e/tonne-km =</w:t>
      </w:r>
      <w:r>
        <w:t xml:space="preserve"> </w:t>
      </w:r>
      <w:r>
        <w:rPr>
          <w:bCs/>
          <w:b/>
        </w:rPr>
        <w:t xml:space="preserve">0.06 kg CO</w:t>
      </w:r>
      <w:r>
        <w:rPr>
          <w:vertAlign w:val="subscript"/>
          <w:bCs/>
          <w:b/>
        </w:rPr>
        <w:t xml:space="preserve">2</w:t>
      </w:r>
      <w:r>
        <w:rPr>
          <w:bCs/>
          <w:b/>
        </w:rPr>
        <w:t xml:space="preserve">e</w:t>
      </w:r>
      <w:r>
        <w:t xml:space="preserve"> </w:t>
      </w:r>
      <w:r>
        <w:t xml:space="preserve">(Illustrative)</w:t>
      </w:r>
    </w:p>
    <w:p>
      <w:pPr>
        <w:numPr>
          <w:ilvl w:val="1"/>
          <w:numId w:val="1016"/>
        </w:numPr>
        <w:pStyle w:val="Compact"/>
      </w:pPr>
      <w:r>
        <w:t xml:space="preserve">Last-Mile Delivery (Van): (1.5 kg / 1000) * 100 km * 0.20 kg CO</w:t>
      </w:r>
      <w:r>
        <w:rPr>
          <w:vertAlign w:val="subscript"/>
        </w:rPr>
        <w:t xml:space="preserve">2</w:t>
      </w:r>
      <w:r>
        <w:t xml:space="preserve">e/tonne-km =</w:t>
      </w:r>
      <w:r>
        <w:t xml:space="preserve"> </w:t>
      </w:r>
      <w:r>
        <w:rPr>
          <w:bCs/>
          <w:b/>
        </w:rPr>
        <w:t xml:space="preserve">0.03 kg CO</w:t>
      </w:r>
      <w:r>
        <w:rPr>
          <w:vertAlign w:val="subscript"/>
          <w:bCs/>
          <w:b/>
        </w:rPr>
        <w:t xml:space="preserve">2</w:t>
      </w:r>
      <w:r>
        <w:rPr>
          <w:bCs/>
          <w:b/>
        </w:rPr>
        <w:t xml:space="preserve">e</w:t>
      </w:r>
      <w:r>
        <w:t xml:space="preserve"> </w:t>
      </w:r>
      <w:r>
        <w:t xml:space="preserve">(Illustrative)</w:t>
      </w:r>
    </w:p>
    <w:p>
      <w:pPr>
        <w:numPr>
          <w:ilvl w:val="0"/>
          <w:numId w:val="1015"/>
        </w:numPr>
        <w:pStyle w:val="Compact"/>
      </w:pPr>
      <w:r>
        <w:rPr>
          <w:bCs/>
          <w:b/>
        </w:rPr>
        <w:t xml:space="preserve">Category 11: Use of Sold Products:</w:t>
      </w:r>
    </w:p>
    <w:p>
      <w:pPr>
        <w:numPr>
          <w:ilvl w:val="1"/>
          <w:numId w:val="1017"/>
        </w:numPr>
        <w:pStyle w:val="Compact"/>
      </w:pPr>
      <w:r>
        <w:t xml:space="preserve">Energy Consumption: 20 kWh/year * 3 years = 60 kWh/unit</w:t>
      </w:r>
    </w:p>
    <w:p>
      <w:pPr>
        <w:numPr>
          <w:ilvl w:val="1"/>
          <w:numId w:val="1017"/>
        </w:numPr>
        <w:pStyle w:val="Compact"/>
      </w:pPr>
      <w:r>
        <w:t xml:space="preserve">Emissions: 60 kWh/unit * 0.6144 kg CO</w:t>
      </w:r>
      <w:r>
        <w:rPr>
          <w:vertAlign w:val="subscript"/>
        </w:rPr>
        <w:t xml:space="preserve">2</w:t>
      </w:r>
      <w:r>
        <w:t xml:space="preserve">e/kWh =</w:t>
      </w:r>
      <w:r>
        <w:t xml:space="preserve"> </w:t>
      </w:r>
      <w:r>
        <w:rPr>
          <w:bCs/>
          <w:b/>
        </w:rPr>
        <w:t xml:space="preserve">36.86 kg CO</w:t>
      </w:r>
      <w:r>
        <w:rPr>
          <w:vertAlign w:val="subscript"/>
          <w:bCs/>
          <w:b/>
        </w:rPr>
        <w:t xml:space="preserve">2</w:t>
      </w:r>
      <w:r>
        <w:rPr>
          <w:bCs/>
          <w:b/>
        </w:rPr>
        <w:t xml:space="preserve">e</w:t>
      </w:r>
      <w:r>
        <w:t xml:space="preserve"> </w:t>
      </w:r>
      <w:r>
        <w:t xml:space="preserve">(Illustrative)</w:t>
      </w:r>
    </w:p>
    <w:p>
      <w:pPr>
        <w:numPr>
          <w:ilvl w:val="0"/>
          <w:numId w:val="1015"/>
        </w:numPr>
        <w:pStyle w:val="Compact"/>
      </w:pPr>
      <w:r>
        <w:rPr>
          <w:bCs/>
          <w:b/>
        </w:rPr>
        <w:t xml:space="preserve">Category 12: End-of-Life Treatment of Sold Products:</w:t>
      </w:r>
    </w:p>
    <w:p>
      <w:pPr>
        <w:numPr>
          <w:ilvl w:val="1"/>
          <w:numId w:val="1018"/>
        </w:numPr>
        <w:pStyle w:val="Compact"/>
      </w:pPr>
      <w:r>
        <w:t xml:space="preserve">Non-recycled portion: 1.5 kg * (1 - 0.85) = 0.225 kg</w:t>
      </w:r>
    </w:p>
    <w:p>
      <w:pPr>
        <w:numPr>
          <w:ilvl w:val="1"/>
          <w:numId w:val="1018"/>
        </w:numPr>
        <w:pStyle w:val="Compact"/>
      </w:pPr>
      <w:r>
        <w:t xml:space="preserve">Disposal emissions: 0.225 kg * 0.5 kg CO</w:t>
      </w:r>
      <w:r>
        <w:rPr>
          <w:vertAlign w:val="subscript"/>
        </w:rPr>
        <w:t xml:space="preserve">2</w:t>
      </w:r>
      <w:r>
        <w:t xml:space="preserve">e/kg =</w:t>
      </w:r>
      <w:r>
        <w:t xml:space="preserve"> </w:t>
      </w:r>
      <w:r>
        <w:rPr>
          <w:bCs/>
          <w:b/>
        </w:rPr>
        <w:t xml:space="preserve">0.11 kg CO</w:t>
      </w:r>
      <w:r>
        <w:rPr>
          <w:vertAlign w:val="subscript"/>
          <w:bCs/>
          <w:b/>
        </w:rPr>
        <w:t xml:space="preserve">2</w:t>
      </w:r>
      <w:r>
        <w:rPr>
          <w:bCs/>
          <w:b/>
        </w:rPr>
        <w:t xml:space="preserve">e</w:t>
      </w:r>
      <w:r>
        <w:t xml:space="preserve"> </w:t>
      </w:r>
      <w:r>
        <w:t xml:space="preserve">(Illustrative, net of recycling benefits).</w:t>
      </w:r>
    </w:p>
    <w:p>
      <w:pPr>
        <w:numPr>
          <w:ilvl w:val="1"/>
          <w:numId w:val="1018"/>
        </w:numPr>
        <w:pStyle w:val="Compact"/>
      </w:pPr>
      <w:r>
        <w:t xml:space="preserve">The "Active Take-back Program" further mitigates impacts by facilitating higher recycling rates and potentially reuse, reducing overall emissions.</w:t>
      </w:r>
    </w:p>
    <w:p>
      <w:pPr>
        <w:pStyle w:val="FirstParagraph"/>
      </w:pPr>
      <w:r>
        <w:rPr>
          <w:bCs/>
          <w:b/>
        </w:rPr>
        <w:t xml:space="preserve">Total Downstream Scope 3 Emissions: 37.06 kg CO</w:t>
      </w:r>
      <w:r>
        <w:rPr>
          <w:vertAlign w:val="subscript"/>
          <w:bCs/>
          <w:b/>
        </w:rPr>
        <w:t xml:space="preserve">2</w:t>
      </w:r>
      <w:r>
        <w:rPr>
          <w:bCs/>
          <w:b/>
        </w:rPr>
        <w:t xml:space="preserve">e</w:t>
      </w:r>
    </w:p>
    <w:p>
      <w:pPr>
        <w:pStyle w:val="BodyText"/>
      </w:pPr>
      <w:r>
        <w:rPr>
          <w:bCs/>
          <w:b/>
        </w:rPr>
        <w:t xml:space="preserve">Total Scope 3 Emissions:</w:t>
      </w:r>
      <w:r>
        <w:t xml:space="preserve"> </w:t>
      </w:r>
      <w:r>
        <w:t xml:space="preserve">6.02 kg CO</w:t>
      </w:r>
      <w:r>
        <w:rPr>
          <w:vertAlign w:val="subscript"/>
        </w:rPr>
        <w:t xml:space="preserve">2</w:t>
      </w:r>
      <w:r>
        <w:t xml:space="preserve">e (Upstream) + 37.06 kg CO</w:t>
      </w:r>
      <w:r>
        <w:rPr>
          <w:vertAlign w:val="subscript"/>
        </w:rPr>
        <w:t xml:space="preserve">2</w:t>
      </w:r>
      <w:r>
        <w:t xml:space="preserve">e (Downstream) =</w:t>
      </w:r>
      <w:r>
        <w:t xml:space="preserve"> </w:t>
      </w:r>
      <w:r>
        <w:rPr>
          <w:bCs/>
          <w:b/>
        </w:rPr>
        <w:t xml:space="preserve">43.08 kg CO</w:t>
      </w:r>
      <w:r>
        <w:rPr>
          <w:vertAlign w:val="subscript"/>
          <w:bCs/>
          <w:b/>
        </w:rPr>
        <w:t xml:space="preserve">2</w:t>
      </w:r>
      <w:r>
        <w:rPr>
          <w:bCs/>
          <w:b/>
        </w:rPr>
        <w:t xml:space="preserve">e</w:t>
      </w:r>
    </w:p>
    <w:bookmarkEnd w:id="33"/>
    <w:bookmarkEnd w:id="34"/>
    <w:bookmarkStart w:id="35"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w:t>
            </w:r>
            <w:r>
              <w:rPr>
                <w:vertAlign w:val="subscript"/>
              </w:rPr>
              <w:t xml:space="preserve">2</w:t>
            </w:r>
            <w:r>
              <w:t xml:space="preserve">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0.10</w:t>
            </w:r>
          </w:p>
        </w:tc>
        <w:tc>
          <w:tcPr/>
          <w:p>
            <w:pPr>
              <w:pStyle w:val="Compact"/>
              <w:jc w:val="left"/>
            </w:pPr>
            <w:r>
              <w:t xml:space="preserve">0.21%</w:t>
            </w:r>
          </w:p>
        </w:tc>
      </w:tr>
      <w:tr>
        <w:tc>
          <w:tcPr/>
          <w:p>
            <w:pPr>
              <w:pStyle w:val="Compact"/>
              <w:jc w:val="left"/>
            </w:pPr>
            <w:r>
              <w:t xml:space="preserve">Scope 2</w:t>
            </w:r>
          </w:p>
        </w:tc>
        <w:tc>
          <w:tcPr/>
          <w:p>
            <w:pPr>
              <w:pStyle w:val="Compact"/>
              <w:jc w:val="left"/>
            </w:pPr>
            <w:r>
              <w:t xml:space="preserve">Indirect Emissions from Purchased Energy</w:t>
            </w:r>
          </w:p>
        </w:tc>
        <w:tc>
          <w:tcPr/>
          <w:p>
            <w:pPr>
              <w:pStyle w:val="Compact"/>
              <w:jc w:val="left"/>
            </w:pPr>
            <w:r>
              <w:t xml:space="preserve">3.69</w:t>
            </w:r>
          </w:p>
        </w:tc>
        <w:tc>
          <w:tcPr/>
          <w:p>
            <w:pPr>
              <w:pStyle w:val="Compact"/>
              <w:jc w:val="left"/>
            </w:pPr>
            <w:r>
              <w:t xml:space="preserve">7.87%</w:t>
            </w:r>
          </w:p>
        </w:tc>
      </w:tr>
      <w:tr>
        <w:tc>
          <w:tcPr/>
          <w:p>
            <w:pPr>
              <w:pStyle w:val="Compact"/>
              <w:jc w:val="left"/>
            </w:pPr>
            <w:r>
              <w:t xml:space="preserve">Scope 3</w:t>
            </w:r>
          </w:p>
        </w:tc>
        <w:tc>
          <w:tcPr/>
          <w:p>
            <w:pPr>
              <w:pStyle w:val="Compact"/>
              <w:jc w:val="left"/>
            </w:pPr>
            <w:r>
              <w:t xml:space="preserve">Other Indirect Emissions (Value Chain)</w:t>
            </w:r>
          </w:p>
        </w:tc>
        <w:tc>
          <w:tcPr/>
          <w:p>
            <w:pPr>
              <w:pStyle w:val="Compact"/>
              <w:jc w:val="left"/>
            </w:pPr>
            <w:r>
              <w:t xml:space="preserve">43.08</w:t>
            </w:r>
          </w:p>
        </w:tc>
        <w:tc>
          <w:tcPr/>
          <w:p>
            <w:pPr>
              <w:pStyle w:val="Compact"/>
              <w:jc w:val="left"/>
            </w:pPr>
            <w:r>
              <w:t xml:space="preserve">91.92%</w:t>
            </w:r>
          </w:p>
        </w:tc>
      </w:tr>
      <w:tr>
        <w:tc>
          <w:tcPr>
            <w:gridSpan w:val="2"/>
          </w:tcPr>
          <w:p>
            <w:pPr>
              <w:pStyle w:val="Compact"/>
              <w:jc w:val="right"/>
            </w:pPr>
            <w:r>
              <w:t xml:space="preserve">Total Product Carbon Footprint (PCF)</w:t>
            </w:r>
          </w:p>
        </w:tc>
        <w:tc>
          <w:tcPr/>
          <w:p>
            <w:pPr>
              <w:pStyle w:val="Compact"/>
              <w:jc w:val="left"/>
            </w:pPr>
            <w:r>
              <w:rPr>
                <w:bCs/>
                <w:b/>
              </w:rPr>
              <w:t xml:space="preserve">46.87</w:t>
            </w:r>
          </w:p>
        </w:tc>
        <w:tc>
          <w:tcPr/>
          <w:p>
            <w:pPr>
              <w:pStyle w:val="Compact"/>
              <w:jc w:val="left"/>
            </w:pPr>
            <w:r>
              <w:rPr>
                <w:bCs/>
                <w:b/>
              </w:rPr>
              <w:t xml:space="preserve">100.00%</w:t>
            </w:r>
          </w:p>
        </w:tc>
      </w:tr>
    </w:tbl>
    <w:bookmarkEnd w:id="35"/>
    <w:bookmarkStart w:id="36" w:name="Xdc499c436a41758858ffb582e59a29706339e1b"/>
    <w:p>
      <w:pPr>
        <w:pStyle w:val="Heading3"/>
      </w:pPr>
      <w:r>
        <w:t xml:space="preserve">Application of 2026 LSR Update (Land Sector and Removals Standard)</w:t>
      </w:r>
    </w:p>
    <w:p>
      <w:pPr>
        <w:pStyle w:val="FirstParagraph"/>
      </w:pPr>
      <w:r>
        <w:t xml:space="preserve">The GHG Protocol\'s Land Sector and Removals (LSR) Standard, finalized on January 30, 2026, and effective January 1, 2027, provides crucial guidance for accounting for land use, land use change, and carbon removals. While specific land-use data for seeiuszrnz\'s supply chain was not provided, future iterations of this PCF will fully integrate LSR requirements, especially for raw materials with agricultural or forestry origins. This will ensure comprehensive quantification, reporting, and tracking of land-related emissions, CO₂ removals, and biogenic carbon flows, aligning with the latest climate science and reporting standards.</w:t>
      </w:r>
    </w:p>
    <w:bookmarkEnd w:id="36"/>
    <w:bookmarkStart w:id="37" w:name="scope-3-compliance-2026-requirements"/>
    <w:p>
      <w:pPr>
        <w:pStyle w:val="Heading3"/>
      </w:pPr>
      <w:r>
        <w:t xml:space="preserve">Scope 3 Compliance (2026 Requirements)</w:t>
      </w:r>
    </w:p>
    <w:p>
      <w:pPr>
        <w:pStyle w:val="FirstParagraph"/>
      </w:pPr>
      <w:r>
        <w:t xml:space="preserve">As per upcoming 2026 requirements, this PCF analysis for seeiuszrnz aims for at least 95% coverage for Scope 3 reporting. The detailed breakdown of upstream and downstream activities demonstrates a robust effort to identify and quantify the significant indirect emissions throughout the product\'s value chain. Any minor exclusions are considered immaterial to the overall footprint and would be quantified and justified in a full, auditable report, ensuring compliance with the stringent new standards for Scope 3 data quality, coverage, and transparency.</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s-identification"/>
    <w:p>
      <w:pPr>
        <w:pStyle w:val="Heading3"/>
      </w:pPr>
      <w:r>
        <w:t xml:space="preserve">Hotspots Identification</w:t>
      </w:r>
    </w:p>
    <w:p>
      <w:pPr>
        <w:pStyle w:val="FirstParagraph"/>
      </w:pPr>
      <w:r>
        <w:t xml:space="preserve">Based on the illustrative calculations, the primary emissions hotspot for seeiuszrnz is:</w:t>
      </w:r>
    </w:p>
    <w:p>
      <w:pPr>
        <w:numPr>
          <w:ilvl w:val="0"/>
          <w:numId w:val="1019"/>
        </w:numPr>
        <w:pStyle w:val="Compact"/>
      </w:pPr>
      <w:r>
        <w:rPr>
          <w:bCs/>
          <w:b/>
        </w:rPr>
        <w:t xml:space="preserve">Use Phase (36.86 kg CO</w:t>
      </w:r>
      <w:r>
        <w:rPr>
          <w:vertAlign w:val="subscript"/>
          <w:bCs/>
          <w:b/>
        </w:rPr>
        <w:t xml:space="preserve">2</w:t>
      </w:r>
      <w:r>
        <w:rPr>
          <w:bCs/>
          <w:b/>
        </w:rPr>
        <w:t xml:space="preserve">e / 78.65% of total):</w:t>
      </w:r>
      <w:r>
        <w:t xml:space="preserve"> </w:t>
      </w:r>
      <w:r>
        <w:t xml:space="preserve">The energy consumption during the product\'s 3-year lifespan contributes the vast majority of its carbon footprint. This highlights the critical need for energy efficiency improvements in product design and promoting renewable energy use by consumers.</w:t>
      </w:r>
    </w:p>
    <w:p>
      <w:pPr>
        <w:numPr>
          <w:ilvl w:val="0"/>
          <w:numId w:val="1019"/>
        </w:numPr>
        <w:pStyle w:val="Compact"/>
      </w:pPr>
      <w:r>
        <w:rPr>
          <w:bCs/>
          <w:b/>
        </w:rPr>
        <w:t xml:space="preserve">Raw Material Acquisition (5.90 kg CO</w:t>
      </w:r>
      <w:r>
        <w:rPr>
          <w:vertAlign w:val="subscript"/>
          <w:bCs/>
          <w:b/>
        </w:rPr>
        <w:t xml:space="preserve">2</w:t>
      </w:r>
      <w:r>
        <w:rPr>
          <w:bCs/>
          <w:b/>
        </w:rPr>
        <w:t xml:space="preserve">e / 12.59% of total):</w:t>
      </w:r>
      <w:r>
        <w:t xml:space="preserve"> </w:t>
      </w:r>
      <w:r>
        <w:t xml:space="preserve">The extraction and processing of materials, particularly primary aluminum and electronics, represent the second largest contributor. Opportunities lie in increasing recycled content, sourcing lower-carbon materials, and engaging with suppliers on decarbonization.</w:t>
      </w:r>
    </w:p>
    <w:bookmarkEnd w:id="39"/>
    <w:bookmarkStart w:id="41" w:name="reliability-statement"/>
    <w:p>
      <w:pPr>
        <w:pStyle w:val="Heading3"/>
      </w:pPr>
      <w:r>
        <w:t xml:space="preserve">Reliability Statement</w:t>
      </w:r>
    </w:p>
    <w:p>
      <w:pPr>
        <w:pStyle w:val="FirstParagraph"/>
      </w:pPr>
      <w:r>
        <w:t xml:space="preserve">This report provides a high-detail Product Carbon Footprint analysis for seeiuszrnz based on the GHG Protocol Product Standard. The methodology rigorously follows industry best practices for data collection, emission calculation, and reporting. While specific input parameters were placeholders requiring the use of illustrative data and representative emission factors from recognized sources (e.g., Ecoinvent, DEFRA, China grid data), the approach demonstrates a comprehensive and transparent assessment. To further enhance accuracy and reliability, primary data collection from all suppliers and verified region-specific emission factors are recommended for future, in-depth studies. The findings offer yzfnyqjtkp clear insights into the environmental performance of seeiuszrnz and identify key areas for emissions reduction.</w:t>
      </w:r>
    </w:p>
    <w:p>
      <w:pPr>
        <w:pStyle w:val="BodyText"/>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seeiuszrnz</dc:title>
  <dc:creator/>
  <dc:description>High-detail Product Carbon Footprint (PCF) analysis for product seeiuszrnz by yzfnyqjtkp, performed by Senior Sustainability Consultant skvnlmwlyj, adhering to GHG Protocol and 2026 updates.</dc:description>
  <dc:language>en</dc:language>
  <cp:keywords/>
  <dcterms:created xsi:type="dcterms:W3CDTF">2026-07-15T06:01:57Z</dcterms:created>
  <dcterms:modified xsi:type="dcterms:W3CDTF">2026-07-15T06:01:57Z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