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sdvliskowl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sdvliskowl</w:t>
      </w:r>
    </w:p>
    <w:p>
      <w:pPr>
        <w:pStyle w:val="BodyText"/>
      </w:pPr>
      <w:r>
        <w:rPr>
          <w:bCs/>
          <w:b/>
        </w:rPr>
        <w:t xml:space="preserve">Company Name:</w:t>
      </w:r>
      <w:r>
        <w:t xml:space="preserve"> </w:t>
      </w:r>
      <w:r>
        <w:t xml:space="preserve">ijfifxlwpg</w:t>
      </w:r>
    </w:p>
    <w:p>
      <w:pPr>
        <w:pStyle w:val="BodyText"/>
      </w:pPr>
      <w:r>
        <w:rPr>
          <w:bCs/>
          <w:b/>
        </w:rPr>
        <w:t xml:space="preserve">Senior Sustainability Consultant:</w:t>
      </w:r>
      <w:r>
        <w:t xml:space="preserve"> </w:t>
      </w:r>
      <w:r>
        <w:t xml:space="preserve">vwpdhokoif</w:t>
      </w:r>
    </w:p>
    <w:p>
      <w:pPr>
        <w:pStyle w:val="BodyText"/>
      </w:pPr>
      <w:r>
        <w:rPr>
          <w:bCs/>
          <w:b/>
        </w:rPr>
        <w:t xml:space="preserve">Accounting Standard:</w:t>
      </w:r>
      <w:r>
        <w:t xml:space="preserve"> </w:t>
      </w:r>
      <w:r>
        <w:t xml:space="preserve">GHG Protocol</w:t>
      </w:r>
    </w:p>
    <w:p>
      <w:pPr>
        <w:pStyle w:val="BodyText"/>
      </w:pPr>
      <w:r>
        <w:rPr>
          <w:iCs/>
          <w:i/>
        </w:rPr>
        <w:t xml:space="preserve">This report is generated based on available data and industry standards. While efforts have been made to ensure accuracy, specific values may vary based on primary data availability and real-world operational conditions.</w:t>
      </w:r>
    </w:p>
    <w:bookmarkEnd w:id="20"/>
    <w:bookmarkStart w:id="21" w:name="X0a8a192fb4f1cff0b3eff9e4f47719fa7986684"/>
    <w:p>
      <w:pPr>
        <w:pStyle w:val="Heading1"/>
      </w:pPr>
      <w:r>
        <w:t xml:space="preserve">Product Carbon Footprint Analysis Report: sdvliskowl</w:t>
      </w:r>
    </w:p>
    <w:p>
      <w:pPr>
        <w:pStyle w:val="FirstParagraph"/>
      </w:pPr>
      <w:r>
        <w:rPr>
          <w:bCs/>
          <w:b/>
        </w:rPr>
        <w:t xml:space="preserve">Generated Date:</w:t>
      </w:r>
      <w:r>
        <w:t xml:space="preserve"> </w:t>
      </w:r>
      <w:r>
        <w:t xml:space="preserve">May 28, 2026</w:t>
      </w:r>
    </w:p>
    <w:p>
      <w:pPr>
        <w:pStyle w:val="BodyText"/>
      </w:pPr>
      <w:r>
        <w:rPr>
          <w:bCs/>
          <w:b/>
        </w:rPr>
        <w:t xml:space="preserve">Company:</w:t>
      </w:r>
      <w:r>
        <w:t xml:space="preserve"> </w:t>
      </w:r>
      <w:r>
        <w:t xml:space="preserve">ijfifxlwpg</w:t>
      </w:r>
    </w:p>
    <w:p>
      <w:pPr>
        <w:pStyle w:val="BodyText"/>
      </w:pPr>
      <w:r>
        <w:rPr>
          <w:bCs/>
          <w:b/>
        </w:rPr>
        <w:t xml:space="preserve">Consultant:</w:t>
      </w:r>
      <w:r>
        <w:t xml:space="preserve"> </w:t>
      </w:r>
      <w:r>
        <w:t xml:space="preserve">vwpdhokoif, Senior Sustainability Consultant</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sdvliskowl, manufactured by ijfifxlwpg. The assessment was conducted by vwpdhokoif, Senior Sustainability Consultant, strictly adhering to the GHG Protocol. This analysis extends beyond the factory gate to encompass a cradle-to-grave perspective, incorporating detailed Bill of Materials, transport logistics, production energy, use-phase energy consumption, and end-of-life scenarios. Key insights identify emission hotspots across the product\'s lifecycle, providing a foundation for targeted decarbonization strategies. The methodology incorporates the latest 2026 Land Sector and Removals (LSR) Standard updates and ensures comprehensive Scope 3 coverage.</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for sdvliskowl adheres to the Greenhouse Gas (GHG) Protocol, providing a robust and transparent framework for quantifying greenhouse gas emissions throughout the product\'s lifecycle.</w:t>
      </w:r>
    </w:p>
    <w:bookmarkStart w:id="23"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sdvliskowl</w:t>
      </w:r>
      <w:r>
        <w:t xml:space="preserve">, representing the quantity of the product that delivers the intended function.</w:t>
      </w:r>
    </w:p>
    <w:bookmarkEnd w:id="23"/>
    <w:bookmarkStart w:id="24" w:name="system-boundary"/>
    <w:p>
      <w:pPr>
        <w:pStyle w:val="Heading3"/>
      </w:pPr>
      <w:r>
        <w:t xml:space="preserve">1.2. System Boundary</w:t>
      </w:r>
    </w:p>
    <w:p>
      <w:pPr>
        <w:pStyle w:val="FirstParagraph"/>
      </w:pPr>
      <w:r>
        <w:t xml:space="preserve">While the initial prompt specified a \'factory_gate\' system boundary, the requirement to incorporate use-phase and End-of-Life (EoL) scenarios necessitates a comprehensive</w:t>
      </w:r>
      <w:r>
        <w:t xml:space="preserve"> </w:t>
      </w:r>
      <w:r>
        <w:rPr>
          <w:bCs/>
          <w:b/>
        </w:rPr>
        <w:t xml:space="preserve">Cradle-to-Grave</w:t>
      </w:r>
      <w:r>
        <w:t xml:space="preserve"> </w:t>
      </w:r>
      <w:r>
        <w:t xml:space="preserve">approach. This expanded boundary ensures all significant emissions across the product\'s lifespan are captured, from raw material extraction to disposal or recycling.</w:t>
      </w:r>
    </w:p>
    <w:p>
      <w:pPr>
        <w:numPr>
          <w:ilvl w:val="0"/>
          <w:numId w:val="1002"/>
        </w:numPr>
        <w:pStyle w:val="Compact"/>
      </w:pPr>
      <w:r>
        <w:rPr>
          <w:bCs/>
          <w:b/>
        </w:rPr>
        <w:t xml:space="preserve">Included Stages:</w:t>
      </w:r>
    </w:p>
    <w:p>
      <w:pPr>
        <w:numPr>
          <w:ilvl w:val="1"/>
          <w:numId w:val="1003"/>
        </w:numPr>
        <w:pStyle w:val="Compact"/>
      </w:pPr>
      <w:r>
        <w:t xml:space="preserve">Raw Material Acquisition &amp; Pre-processing</w:t>
      </w:r>
    </w:p>
    <w:p>
      <w:pPr>
        <w:numPr>
          <w:ilvl w:val="1"/>
          <w:numId w:val="1003"/>
        </w:numPr>
        <w:pStyle w:val="Compact"/>
      </w:pPr>
      <w:r>
        <w:t xml:space="preserve">Manufacturing (ijfifxlwpg\'s production in China)</w:t>
      </w:r>
    </w:p>
    <w:p>
      <w:pPr>
        <w:numPr>
          <w:ilvl w:val="1"/>
          <w:numId w:val="1003"/>
        </w:numPr>
        <w:pStyle w:val="Compact"/>
      </w:pPr>
      <w:r>
        <w:t xml:space="preserve">Transportation (upstream and downstream)</w:t>
      </w:r>
    </w:p>
    <w:p>
      <w:pPr>
        <w:numPr>
          <w:ilvl w:val="1"/>
          <w:numId w:val="1003"/>
        </w:numPr>
        <w:pStyle w:val="Compact"/>
      </w:pPr>
      <w:r>
        <w:t xml:space="preserve">Product Use Phase</w:t>
      </w:r>
    </w:p>
    <w:p>
      <w:pPr>
        <w:numPr>
          <w:ilvl w:val="1"/>
          <w:numId w:val="1003"/>
        </w:numPr>
        <w:pStyle w:val="Compact"/>
      </w:pPr>
      <w:r>
        <w:t xml:space="preserve">End-of-Life Treatment (disposal/recycling)</w:t>
      </w:r>
    </w:p>
    <w:p>
      <w:pPr>
        <w:numPr>
          <w:ilvl w:val="0"/>
          <w:numId w:val="1002"/>
        </w:numPr>
        <w:pStyle w:val="Compact"/>
      </w:pPr>
      <w:r>
        <w:rPr>
          <w:bCs/>
          <w:b/>
        </w:rPr>
        <w:t xml:space="preserve">Excluded Stages (for simplification, unless explicitly provided by parameters):</w:t>
      </w:r>
    </w:p>
    <w:p>
      <w:pPr>
        <w:numPr>
          <w:ilvl w:val="1"/>
          <w:numId w:val="1004"/>
        </w:numPr>
        <w:pStyle w:val="Compact"/>
      </w:pPr>
      <w:r>
        <w:t xml:space="preserve">Capital goods and infrastructure (e.g., factory construction)</w:t>
      </w:r>
    </w:p>
    <w:p>
      <w:pPr>
        <w:numPr>
          <w:ilvl w:val="1"/>
          <w:numId w:val="1004"/>
        </w:numPr>
        <w:pStyle w:val="Compact"/>
      </w:pPr>
      <w:r>
        <w:t xml:space="preserve">Employee commuting and business travel</w:t>
      </w:r>
    </w:p>
    <w:p>
      <w:pPr>
        <w:numPr>
          <w:ilvl w:val="1"/>
          <w:numId w:val="1004"/>
        </w:numPr>
        <w:pStyle w:val="Compact"/>
      </w:pPr>
      <w:r>
        <w:t xml:space="preserve">Downstream leased assets, franchises, investments (as per product-level PCF focus)</w:t>
      </w:r>
    </w:p>
    <w:bookmarkEnd w:id="24"/>
    <w:bookmarkStart w:id="25" w:name="geographic-scope"/>
    <w:p>
      <w:pPr>
        <w:pStyle w:val="Heading3"/>
      </w:pPr>
      <w:r>
        <w:t xml:space="preserve">1.3. Geographic Scope</w:t>
      </w:r>
    </w:p>
    <w:p>
      <w:pPr>
        <w:numPr>
          <w:ilvl w:val="0"/>
          <w:numId w:val="1005"/>
        </w:numPr>
        <w:pStyle w:val="Compact"/>
      </w:pPr>
      <w:r>
        <w:rPr>
          <w:bCs/>
          <w:b/>
        </w:rPr>
        <w:t xml:space="preserve">Final Production Country:</w:t>
      </w:r>
      <w:r>
        <w:t xml:space="preserve"> </w:t>
      </w:r>
      <w:r>
        <w:t xml:space="preserve">China</w:t>
      </w:r>
    </w:p>
    <w:p>
      <w:pPr>
        <w:numPr>
          <w:ilvl w:val="0"/>
          <w:numId w:val="1005"/>
        </w:numPr>
        <w:pStyle w:val="Compact"/>
      </w:pPr>
      <w:r>
        <w:rPr>
          <w:bCs/>
          <w:b/>
        </w:rPr>
        <w:t xml:space="preserve">Supply Chain Focus:</w:t>
      </w:r>
      <w:r>
        <w:t xml:space="preserve"> </w:t>
      </w:r>
      <w:r>
        <w:t xml:space="preserve">Europe Focused (for raw material sourcing and product distribution)</w:t>
      </w:r>
    </w:p>
    <w:bookmarkEnd w:id="25"/>
    <w:bookmarkStart w:id="26" w:name="allocation"/>
    <w:p>
      <w:pPr>
        <w:pStyle w:val="Heading3"/>
      </w:pPr>
      <w:r>
        <w:t xml:space="preserve">1.4. Allocation</w:t>
      </w:r>
    </w:p>
    <w:p>
      <w:pPr>
        <w:pStyle w:val="FirstParagraph"/>
      </w:pPr>
      <w:r>
        <w:t xml:space="preserve">Emissions are allocated directly to the functional unit (1.0 unit of sdvliskowl). For shared processes (e.g., transport of multiple goods), mass-based allocation is applied where appropriate.</w:t>
      </w:r>
    </w:p>
    <w:p>
      <w:r>
        <w:pict>
          <v:rect style="width:0;height:1.5pt" o:hralign="center" o:hrstd="t" o:hr="t"/>
        </w:pict>
      </w:r>
    </w:p>
    <w:bookmarkEnd w:id="26"/>
    <w:bookmarkEnd w:id="27"/>
    <w:bookmarkStart w:id="33" w:name="X2bf58de29a7a901ba932b9a6a779f7f86e80a1b"/>
    <w:p>
      <w:pPr>
        <w:pStyle w:val="Heading2"/>
      </w:pPr>
      <w:r>
        <w:t xml:space="preserve">2. Lifecycle Mapping and Data Collection (LCI Inventory)</w:t>
      </w:r>
    </w:p>
    <w:p>
      <w:pPr>
        <w:pStyle w:val="FirstParagraph"/>
      </w:pPr>
      <w:r>
        <w:t xml:space="preserve">This section details the lifecycle stages of sdvliskowl and the data collected for each stage. Primary data points, where provided, are used, supplemented by secondary industry-average data where necessary.</w:t>
      </w:r>
    </w:p>
    <w:bookmarkStart w:id="28" w:name="X125161bbf908ba5d52ede815f44a26baaa192f5"/>
    <w:p>
      <w:pPr>
        <w:pStyle w:val="Heading3"/>
      </w:pPr>
      <w:r>
        <w:t xml:space="preserve">2.1. Detailed Bill of Materials (BOM) - eipmzhed</w:t>
      </w:r>
    </w:p>
    <w:p>
      <w:pPr>
        <w:pStyle w:val="FirstParagraph"/>
      </w:pPr>
      <w:r>
        <w:t xml:space="preserve">The following Bill of Materials (BOM) represents the primary material inputs for sdvliskowl. Emission factors are applied to each material to calculate its carbon impact.</w:t>
      </w:r>
      <w:r>
        <w:t xml:space="preserve"> </w:t>
      </w:r>
      <w:r>
        <w:t xml:space="preserve">Assumed Product Weight: 0.7 kg per unit of sdvliskowl.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(kg/unit)</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14.0</w:t>
            </w:r>
          </w:p>
        </w:tc>
        <w:tc>
          <w:tcPr/>
          <w:p>
            <w:pPr>
              <w:pStyle w:val="Compact"/>
              <w:jc w:val="left"/>
            </w:pPr>
            <w:r>
              <w:t xml:space="preserve">2.80</w:t>
            </w:r>
          </w:p>
        </w:tc>
      </w:tr>
      <w:tr>
        <w:tc>
          <w:tcPr/>
          <w:p>
            <w:pPr>
              <w:pStyle w:val="Compact"/>
              <w:jc w:val="left"/>
            </w:pPr>
            <w:r>
              <w:t xml:space="preserve">2</w:t>
            </w:r>
          </w:p>
        </w:tc>
        <w:tc>
          <w:tcPr/>
          <w:p>
            <w:pPr>
              <w:pStyle w:val="Compact"/>
              <w:jc w:val="left"/>
            </w:pPr>
            <w:r>
              <w:t xml:space="preserve">Plastic Housing (PP)</w:t>
            </w:r>
          </w:p>
        </w:tc>
        <w:tc>
          <w:tcPr/>
          <w:p>
            <w:pPr>
              <w:pStyle w:val="Compact"/>
              <w:jc w:val="left"/>
            </w:pPr>
            <w:r>
              <w:t xml:space="preserve">Plastic</w:t>
            </w:r>
          </w:p>
        </w:tc>
        <w:tc>
          <w:tcPr/>
          <w:p>
            <w:pPr>
              <w:pStyle w:val="Compact"/>
              <w:jc w:val="left"/>
            </w:pPr>
            <w:r>
              <w:t xml:space="preserve">Polymerization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50.0 (per unit)</w:t>
            </w:r>
          </w:p>
        </w:tc>
        <w:tc>
          <w:tcPr/>
          <w:p>
            <w:pPr>
              <w:pStyle w:val="Compact"/>
              <w:jc w:val="left"/>
            </w:pPr>
            <w:r>
              <w:t xml:space="preserve">7.50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4.5</w:t>
            </w:r>
          </w:p>
        </w:tc>
        <w:tc>
          <w:tcPr/>
          <w:p>
            <w:pPr>
              <w:pStyle w:val="Compact"/>
              <w:jc w:val="left"/>
            </w:pPr>
            <w:r>
              <w:t xml:space="preserve">0.225</w:t>
            </w:r>
          </w:p>
        </w:tc>
      </w:tr>
      <w:tr>
        <w:tc>
          <w:tcPr>
            <w:gridSpan w:val="7"/>
          </w:tcPr>
          <w:p>
            <w:pPr>
              <w:pStyle w:val="Compact"/>
              <w:jc w:val="right"/>
            </w:pPr>
            <w:r>
              <w:rPr>
                <w:bCs/>
                <w:b/>
              </w:rPr>
              <w:t xml:space="preserve">Total Material Carbon Impact:</w:t>
            </w:r>
          </w:p>
        </w:tc>
        <w:tc>
          <w:tcPr/>
          <w:p>
            <w:pPr>
              <w:pStyle w:val="Compact"/>
              <w:jc w:val="left"/>
            </w:pPr>
            <w:r>
              <w:rPr>
                <w:bCs/>
                <w:b/>
              </w:rPr>
              <w:t xml:space="preserve">11.575</w:t>
            </w:r>
          </w:p>
        </w:tc>
      </w:tr>
    </w:tbl>
    <w:bookmarkEnd w:id="28"/>
    <w:bookmarkStart w:id="29" w:name="manufacturing-energy-inputs"/>
    <w:p>
      <w:pPr>
        <w:pStyle w:val="Heading3"/>
      </w:pPr>
      <w:r>
        <w:t xml:space="preserve">2.2. Manufacturing Energy Inputs</w:t>
      </w:r>
    </w:p>
    <w:p>
      <w:pPr>
        <w:numPr>
          <w:ilvl w:val="0"/>
          <w:numId w:val="1006"/>
        </w:numPr>
        <w:pStyle w:val="Compact"/>
      </w:pPr>
      <w:r>
        <w:rPr>
          <w:bCs/>
          <w:b/>
        </w:rPr>
        <w:t xml:space="preserve">Energy Intensity (kWh/unit):</w:t>
      </w:r>
      <w:r>
        <w:t xml:space="preserve"> </w:t>
      </w:r>
      <w:r>
        <w:t xml:space="preserve">zwxfhnodne = 20 kWh/unit</w:t>
      </w:r>
    </w:p>
    <w:p>
      <w:pPr>
        <w:numPr>
          <w:ilvl w:val="0"/>
          <w:numId w:val="1006"/>
        </w:numPr>
        <w:pStyle w:val="Compact"/>
      </w:pPr>
      <w:r>
        <w:rPr>
          <w:bCs/>
          <w:b/>
        </w:rPr>
        <w:t xml:space="preserve">Renewable Energy Usage:</w:t>
      </w:r>
      <w:r>
        <w:t xml:space="preserve"> </w:t>
      </w:r>
      <w:r>
        <w:t xml:space="preserve">qfrlerjhyv = 40% (percentage of purchased electricity from renewable sources at ijfifxlwpg\'s production facility in China)</w:t>
      </w:r>
    </w:p>
    <w:p>
      <w:pPr>
        <w:numPr>
          <w:ilvl w:val="0"/>
          <w:numId w:val="1006"/>
        </w:numPr>
        <w:pStyle w:val="Compact"/>
      </w:pPr>
      <w:r>
        <w:rPr>
          <w:bCs/>
          <w:b/>
        </w:rPr>
        <w:t xml:space="preserve">Grid Electricity Emission Factor (China):</w:t>
      </w:r>
      <w:r>
        <w:t xml:space="preserve"> </w:t>
      </w:r>
      <w:r>
        <w:t xml:space="preserve">~0.65 kgCO2e/kWh (average for China\'s grid)</w:t>
      </w:r>
    </w:p>
    <w:bookmarkEnd w:id="29"/>
    <w:bookmarkStart w:id="30" w:name="transportation-logistics"/>
    <w:p>
      <w:pPr>
        <w:pStyle w:val="Heading3"/>
      </w:pPr>
      <w:r>
        <w:t xml:space="preserve">2.3. Transportation Logistics</w:t>
      </w:r>
    </w:p>
    <w:p>
      <w:pPr>
        <w:numPr>
          <w:ilvl w:val="0"/>
          <w:numId w:val="1007"/>
        </w:numPr>
        <w:pStyle w:val="Compact"/>
      </w:pPr>
      <w:r>
        <w:rPr>
          <w:bCs/>
          <w:b/>
        </w:rPr>
        <w:t xml:space="preserve">Transport Mode:</w:t>
      </w:r>
      <w:r>
        <w:t xml:space="preserve"> </w:t>
      </w:r>
      <w:r>
        <w:t xml:space="preserve">Select Mode (Assumed: Sea Freight for international, Road Freight for intra-continental)</w:t>
      </w:r>
    </w:p>
    <w:p>
      <w:pPr>
        <w:numPr>
          <w:ilvl w:val="0"/>
          <w:numId w:val="1007"/>
        </w:numPr>
        <w:pStyle w:val="Compact"/>
      </w:pPr>
      <w:r>
        <w:rPr>
          <w:bCs/>
          <w:b/>
        </w:rPr>
        <w:t xml:space="preserve">Transport Distance:</w:t>
      </w:r>
      <w:r>
        <w:t xml:space="preserve"> </w:t>
      </w:r>
      <w:r>
        <w:t xml:space="preserve">pepsuqvfvh</w:t>
      </w:r>
    </w:p>
    <w:p>
      <w:pPr>
        <w:numPr>
          <w:ilvl w:val="1"/>
          <w:numId w:val="1008"/>
        </w:numPr>
        <w:pStyle w:val="Compact"/>
      </w:pPr>
      <w:r>
        <w:rPr>
          <w:bCs/>
          <w:b/>
        </w:rPr>
        <w:t xml:space="preserve">Upstream (Raw Materials to China Factory):</w:t>
      </w:r>
    </w:p>
    <w:p>
      <w:pPr>
        <w:numPr>
          <w:ilvl w:val="2"/>
          <w:numId w:val="1009"/>
        </w:numPr>
        <w:pStyle w:val="Compact"/>
      </w:pPr>
      <w:r>
        <w:t xml:space="preserve">Origin: Europe (e.g., Germany)</w:t>
      </w:r>
    </w:p>
    <w:p>
      <w:pPr>
        <w:numPr>
          <w:ilvl w:val="2"/>
          <w:numId w:val="1009"/>
        </w:numPr>
        <w:pStyle w:val="Compact"/>
      </w:pPr>
      <w:r>
        <w:t xml:space="preserve">Destination: China</w:t>
      </w:r>
    </w:p>
    <w:p>
      <w:pPr>
        <w:numPr>
          <w:ilvl w:val="2"/>
          <w:numId w:val="1009"/>
        </w:numPr>
        <w:pStyle w:val="Compact"/>
      </w:pPr>
      <w:r>
        <w:t xml:space="preserve">Distance: 15,000 km (Sea Freight)</w:t>
      </w:r>
    </w:p>
    <w:p>
      <w:pPr>
        <w:numPr>
          <w:ilvl w:val="2"/>
          <w:numId w:val="1009"/>
        </w:numPr>
        <w:pStyle w:val="Compact"/>
      </w:pPr>
      <w:r>
        <w:t xml:space="preserve">Assumed Cargo Weight: 0.7 kg (per unit sdvliskowl)</w:t>
      </w:r>
    </w:p>
    <w:p>
      <w:pPr>
        <w:numPr>
          <w:ilvl w:val="2"/>
          <w:numId w:val="1009"/>
        </w:numPr>
        <w:pStyle w:val="Compact"/>
      </w:pPr>
      <w:r>
        <w:t xml:space="preserve">Emission Factor (Sea Freight, Container Ship): 0.016 kgCO2e/tonne-km</w:t>
      </w:r>
    </w:p>
    <w:p>
      <w:pPr>
        <w:numPr>
          <w:ilvl w:val="1"/>
          <w:numId w:val="1008"/>
        </w:numPr>
        <w:pStyle w:val="Compact"/>
      </w:pPr>
      <w:r>
        <w:rPr>
          <w:bCs/>
          <w:b/>
        </w:rPr>
        <w:t xml:space="preserve">Downstream (Factory to Europe Distribution Center):</w:t>
      </w:r>
    </w:p>
    <w:p>
      <w:pPr>
        <w:numPr>
          <w:ilvl w:val="2"/>
          <w:numId w:val="1010"/>
        </w:numPr>
        <w:pStyle w:val="Compact"/>
      </w:pPr>
      <w:r>
        <w:t xml:space="preserve">Origin: China</w:t>
      </w:r>
    </w:p>
    <w:p>
      <w:pPr>
        <w:numPr>
          <w:ilvl w:val="2"/>
          <w:numId w:val="1010"/>
        </w:numPr>
        <w:pStyle w:val="Compact"/>
      </w:pPr>
      <w:r>
        <w:t xml:space="preserve">Destination: Europe (e.g., Germany Distribution Center)</w:t>
      </w:r>
    </w:p>
    <w:p>
      <w:pPr>
        <w:numPr>
          <w:ilvl w:val="2"/>
          <w:numId w:val="1010"/>
        </w:numPr>
        <w:pStyle w:val="Compact"/>
      </w:pPr>
      <w:r>
        <w:t xml:space="preserve">Distance: 15,000 km (Sea Freight)</w:t>
      </w:r>
    </w:p>
    <w:p>
      <w:pPr>
        <w:numPr>
          <w:ilvl w:val="2"/>
          <w:numId w:val="1010"/>
        </w:numPr>
        <w:pStyle w:val="Compact"/>
      </w:pPr>
      <w:r>
        <w:t xml:space="preserve">Assumed Cargo Weight: 0.7 kg (per unit sdvliskowl)</w:t>
      </w:r>
    </w:p>
    <w:p>
      <w:pPr>
        <w:numPr>
          <w:ilvl w:val="2"/>
          <w:numId w:val="1010"/>
        </w:numPr>
        <w:pStyle w:val="Compact"/>
      </w:pPr>
      <w:r>
        <w:t xml:space="preserve">Emission Factor (Sea Freight, Container Ship): 0.016 kgCO2e/tonne-km</w:t>
      </w:r>
    </w:p>
    <w:p>
      <w:pPr>
        <w:numPr>
          <w:ilvl w:val="1"/>
          <w:numId w:val="1008"/>
        </w:numPr>
        <w:pStyle w:val="Compact"/>
      </w:pPr>
      <w:r>
        <w:rPr>
          <w:bCs/>
          <w:b/>
        </w:rPr>
        <w:t xml:space="preserve">Last-Mile Delivery Channel:</w:t>
      </w:r>
      <w:r>
        <w:t xml:space="preserve"> </w:t>
      </w:r>
      <w:r>
        <w:t xml:space="preserve">Delivery Type (Assumed: Van/Road Freight)</w:t>
      </w:r>
    </w:p>
    <w:p>
      <w:pPr>
        <w:numPr>
          <w:ilvl w:val="2"/>
          <w:numId w:val="1011"/>
        </w:numPr>
        <w:pStyle w:val="Compact"/>
      </w:pPr>
      <w:r>
        <w:t xml:space="preserve">Origin: Europe Distribution Center</w:t>
      </w:r>
    </w:p>
    <w:p>
      <w:pPr>
        <w:numPr>
          <w:ilvl w:val="2"/>
          <w:numId w:val="1011"/>
        </w:numPr>
        <w:pStyle w:val="Compact"/>
      </w:pPr>
      <w:r>
        <w:t xml:space="preserve">Destination: Customer (intra-Europe)</w:t>
      </w:r>
    </w:p>
    <w:p>
      <w:pPr>
        <w:numPr>
          <w:ilvl w:val="2"/>
          <w:numId w:val="1011"/>
        </w:numPr>
        <w:pStyle w:val="Compact"/>
      </w:pPr>
      <w:r>
        <w:t xml:space="preserve">Distance: 500 km (Road Freight)</w:t>
      </w:r>
    </w:p>
    <w:p>
      <w:pPr>
        <w:numPr>
          <w:ilvl w:val="2"/>
          <w:numId w:val="1011"/>
        </w:numPr>
        <w:pStyle w:val="Compact"/>
      </w:pPr>
      <w:r>
        <w:t xml:space="preserve">Assumed Cargo Weight: 0.7 kg (per unit sdvliskowl)</w:t>
      </w:r>
    </w:p>
    <w:p>
      <w:pPr>
        <w:numPr>
          <w:ilvl w:val="2"/>
          <w:numId w:val="1011"/>
        </w:numPr>
        <w:pStyle w:val="Compact"/>
      </w:pPr>
      <w:r>
        <w:t xml:space="preserve">Emission Factor (Road Freight, Van/Light Commercial Vehicle): 0.2 kgCO2e/tonne-km (estimated for smaller vehicles)</w:t>
      </w:r>
    </w:p>
    <w:bookmarkEnd w:id="30"/>
    <w:bookmarkStart w:id="31" w:name="product-use-phase"/>
    <w:p>
      <w:pPr>
        <w:pStyle w:val="Heading3"/>
      </w:pPr>
      <w:r>
        <w:t xml:space="preserve">2.4. Product Use Phase</w:t>
      </w:r>
    </w:p>
    <w:p>
      <w:pPr>
        <w:numPr>
          <w:ilvl w:val="0"/>
          <w:numId w:val="1012"/>
        </w:numPr>
        <w:pStyle w:val="Compact"/>
      </w:pPr>
      <w:r>
        <w:rPr>
          <w:bCs/>
          <w:b/>
        </w:rPr>
        <w:t xml:space="preserve">Product Lifespan:</w:t>
      </w:r>
      <w:r>
        <w:t xml:space="preserve"> </w:t>
      </w:r>
      <w:r>
        <w:t xml:space="preserve">yjenkovqsi = 5 years</w:t>
      </w:r>
    </w:p>
    <w:p>
      <w:pPr>
        <w:numPr>
          <w:ilvl w:val="0"/>
          <w:numId w:val="1012"/>
        </w:numPr>
        <w:pStyle w:val="Compact"/>
      </w:pPr>
      <w:r>
        <w:rPr>
          <w:bCs/>
          <w:b/>
        </w:rPr>
        <w:t xml:space="preserve">Energy Consumption in Use:</w:t>
      </w:r>
      <w:r>
        <w:t xml:space="preserve"> </w:t>
      </w:r>
      <w:r>
        <w:t xml:space="preserve">furiovyddh = 10 kWh/year</w:t>
      </w:r>
    </w:p>
    <w:p>
      <w:pPr>
        <w:numPr>
          <w:ilvl w:val="0"/>
          <w:numId w:val="1012"/>
        </w:numPr>
        <w:pStyle w:val="Compact"/>
      </w:pPr>
      <w:r>
        <w:rPr>
          <w:bCs/>
          <w:b/>
        </w:rPr>
        <w:t xml:space="preserve">Grid Electricity Emission Factor (Europe):</w:t>
      </w:r>
      <w:r>
        <w:t xml:space="preserve"> </w:t>
      </w:r>
      <w:r>
        <w:t xml:space="preserve">~0.25 kgCO2e/kWh (average for Europe\'s grid)</w:t>
      </w:r>
    </w:p>
    <w:bookmarkEnd w:id="31"/>
    <w:bookmarkStart w:id="32" w:name="end-of-life-eol-scenarios"/>
    <w:p>
      <w:pPr>
        <w:pStyle w:val="Heading3"/>
      </w:pPr>
      <w:r>
        <w:t xml:space="preserve">2.5. End-of-Life (EoL) Scenarios</w:t>
      </w:r>
    </w:p>
    <w:p>
      <w:pPr>
        <w:numPr>
          <w:ilvl w:val="0"/>
          <w:numId w:val="1013"/>
        </w:numPr>
        <w:pStyle w:val="Compact"/>
      </w:pPr>
      <w:r>
        <w:rPr>
          <w:bCs/>
          <w:b/>
        </w:rPr>
        <w:t xml:space="preserve">Recyclability Percentage:</w:t>
      </w:r>
      <w:r>
        <w:t xml:space="preserve"> </w:t>
      </w:r>
      <w:r>
        <w:t xml:space="preserve">opgrskjdnq = 70%</w:t>
      </w:r>
    </w:p>
    <w:p>
      <w:pPr>
        <w:numPr>
          <w:ilvl w:val="0"/>
          <w:numId w:val="1013"/>
        </w:numPr>
        <w:pStyle w:val="Compact"/>
      </w:pPr>
      <w:r>
        <w:rPr>
          <w:bCs/>
          <w:b/>
        </w:rPr>
        <w:t xml:space="preserve">Circular/Take-back Programs:</w:t>
      </w:r>
      <w:r>
        <w:t xml:space="preserve"> </w:t>
      </w:r>
      <w:r>
        <w:t xml:space="preserve">gnotlgmnih = Yes (This suggests an effective recycling infrastructure or incentive, supporting the recyclability percentage).</w:t>
      </w:r>
    </w:p>
    <w:p>
      <w:pPr>
        <w:numPr>
          <w:ilvl w:val="0"/>
          <w:numId w:val="1013"/>
        </w:numPr>
        <w:pStyle w:val="Compact"/>
      </w:pPr>
      <w:r>
        <w:rPr>
          <w:bCs/>
          <w:b/>
        </w:rPr>
        <w:t xml:space="preserve">EoL Emission Factors/Credits:</w:t>
      </w:r>
    </w:p>
    <w:p>
      <w:pPr>
        <w:numPr>
          <w:ilvl w:val="1"/>
          <w:numId w:val="1014"/>
        </w:numPr>
        <w:pStyle w:val="Compact"/>
      </w:pPr>
      <w:r>
        <w:t xml:space="preserve">For the 30% non-recycled portion: Assumed landfill/incineration emission factor for mixed electronics/waste: 0.5 kgCO2e/kg.</w:t>
      </w:r>
    </w:p>
    <w:p>
      <w:pPr>
        <w:numPr>
          <w:ilvl w:val="1"/>
          <w:numId w:val="1014"/>
        </w:numPr>
        <w:pStyle w:val="Compact"/>
      </w:pPr>
      <w:r>
        <w:t xml:space="preserve">For the 70% recycled portion: Assumed avoided emissions (credit) for materials. EPA WARM provides negative factors for recycling electronics, indicating savings. For this analysis, we will apply a credit equivalent to 60% of the virgin material\'s carbon footprint for the recycled portion, representing the emissions saved by not needing to produce new virgin material. This credit will be applied proportionally to the total material weight.</w:t>
      </w:r>
    </w:p>
    <w:p>
      <w:r>
        <w:pict>
          <v:rect style="width:0;height:1.5pt" o:hralign="center" o:hrstd="t" o:hr="t"/>
        </w:pict>
      </w:r>
    </w:p>
    <w:bookmarkEnd w:id="32"/>
    <w:bookmarkEnd w:id="33"/>
    <w:bookmarkStart w:id="44" w:name="X79b07cb2433669da3486a89e3c5d3902ae586c4"/>
    <w:p>
      <w:pPr>
        <w:pStyle w:val="Heading2"/>
      </w:pPr>
      <w:r>
        <w:t xml:space="preserve">3. GHG Emission Calculations (Activity * Emission Factor = CO2e)</w:t>
      </w:r>
    </w:p>
    <w:p>
      <w:pPr>
        <w:pStyle w:val="FirstParagraph"/>
      </w:pPr>
      <w:r>
        <w:t xml:space="preserve">Emissions are categorized according to the GHG Protocol scopes. All calculations are for 1.0 functional unit of sdvliskowl.</w:t>
      </w:r>
    </w:p>
    <w:bookmarkStart w:id="34" w:name="scope-1-emissions-direct-emissions"/>
    <w:p>
      <w:pPr>
        <w:pStyle w:val="Heading3"/>
      </w:pPr>
      <w:r>
        <w:t xml:space="preserve">3.1. Scope 1 Emissions (Direct Emissions)</w:t>
      </w:r>
    </w:p>
    <w:p>
      <w:pPr>
        <w:pStyle w:val="FirstParagraph"/>
      </w:pPr>
      <w:r>
        <w:t xml:space="preserve">Given the provided parameters, direct fuel combustion on-site by ijfifxlwpg for manufacturing is assumed to be negligible or implicitly covered within the purchased electricity intensity if not explicitly separated. If specific data on on-site fuel consumption (e.g., for heating or specific processes not run by electricity) were available, it would be included here.</w:t>
      </w:r>
    </w:p>
    <w:p>
      <w:pPr>
        <w:numPr>
          <w:ilvl w:val="0"/>
          <w:numId w:val="1015"/>
        </w:numPr>
        <w:pStyle w:val="Compact"/>
      </w:pPr>
      <w:r>
        <w:rPr>
          <w:bCs/>
          <w:b/>
        </w:rPr>
        <w:t xml:space="preserve">Total Scope 1 Emissions:</w:t>
      </w:r>
      <w:r>
        <w:t xml:space="preserve"> </w:t>
      </w:r>
      <w:r>
        <w:t xml:space="preserve">0.00 kgCO2e</w:t>
      </w:r>
    </w:p>
    <w:bookmarkEnd w:id="34"/>
    <w:bookmarkStart w:id="35" w:name="X74867a7b2c16b8de440578aa3f6074c77be2239"/>
    <w:p>
      <w:pPr>
        <w:pStyle w:val="Heading3"/>
      </w:pPr>
      <w:r>
        <w:t xml:space="preserve">3.2. Scope 2 Emissions (Purchased Electricity for Manufacturing)</w:t>
      </w:r>
    </w:p>
    <w:p>
      <w:pPr>
        <w:pStyle w:val="FirstParagraph"/>
      </w:pPr>
      <w:r>
        <w:t xml:space="preserve">These emissions arise from the generation of purchased electricity consumed by ijfifxlwpg\'s manufacturing facility in China.</w:t>
      </w:r>
    </w:p>
    <w:p>
      <w:pPr>
        <w:numPr>
          <w:ilvl w:val="0"/>
          <w:numId w:val="1016"/>
        </w:numPr>
        <w:pStyle w:val="Compact"/>
      </w:pPr>
      <w:r>
        <w:t xml:space="preserve">Total Energy Consumption: 20 kWh/unit [zwxfhnodne]</w:t>
      </w:r>
    </w:p>
    <w:p>
      <w:pPr>
        <w:numPr>
          <w:ilvl w:val="0"/>
          <w:numId w:val="1016"/>
        </w:numPr>
        <w:pStyle w:val="Compact"/>
      </w:pPr>
      <w:r>
        <w:t xml:space="preserve">Non-Renewable Energy Share: (1 - 0.40 [qfrlerjhyv]) = 0.60</w:t>
      </w:r>
    </w:p>
    <w:p>
      <w:pPr>
        <w:numPr>
          <w:ilvl w:val="0"/>
          <w:numId w:val="1016"/>
        </w:numPr>
        <w:pStyle w:val="Compact"/>
      </w:pPr>
      <w:r>
        <w:t xml:space="preserve">Grid Electricity Emission Factor (China): 0.65 kgCO2e/kWh</w:t>
      </w:r>
    </w:p>
    <w:p>
      <w:pPr>
        <w:numPr>
          <w:ilvl w:val="0"/>
          <w:numId w:val="1016"/>
        </w:numPr>
        <w:pStyle w:val="Compact"/>
      </w:pPr>
      <w:r>
        <w:rPr>
          <w:bCs/>
          <w:b/>
        </w:rPr>
        <w:t xml:space="preserve">Calculation:</w:t>
      </w:r>
      <w:r>
        <w:t xml:space="preserve"> </w:t>
      </w:r>
      <w:r>
        <w:t xml:space="preserve">20 kWh/unit * 0.60 * 0.65 kgCO2e/kWh = 7.80 kgCO2e</w:t>
      </w:r>
    </w:p>
    <w:p>
      <w:pPr>
        <w:numPr>
          <w:ilvl w:val="0"/>
          <w:numId w:val="1016"/>
        </w:numPr>
        <w:pStyle w:val="Compact"/>
      </w:pPr>
      <w:r>
        <w:rPr>
          <w:bCs/>
          <w:b/>
        </w:rPr>
        <w:t xml:space="preserve">Total Scope 2 Emissions:</w:t>
      </w:r>
      <w:r>
        <w:t xml:space="preserve"> </w:t>
      </w:r>
      <w:r>
        <w:t xml:space="preserve">7.80 kgCO2e</w:t>
      </w:r>
    </w:p>
    <w:bookmarkEnd w:id="35"/>
    <w:bookmarkStart w:id="41" w:name="scope-3-emissions-value-chain-emissions"/>
    <w:p>
      <w:pPr>
        <w:pStyle w:val="Heading3"/>
      </w:pPr>
      <w:r>
        <w:t xml:space="preserve">3.3. Scope 3 Emissions (Value Chain Emissions)</w:t>
      </w:r>
    </w:p>
    <w:bookmarkStart w:id="36" w:name="Xab9729a0caae076ca89f2f71668734f92723cf2"/>
    <w:p>
      <w:pPr>
        <w:pStyle w:val="Heading4"/>
      </w:pPr>
      <w:r>
        <w:t xml:space="preserve">3.3.1. Category 1: Purchased Goods and Services (Materials)</w:t>
      </w:r>
    </w:p>
    <w:p>
      <w:pPr>
        <w:pStyle w:val="FirstParagraph"/>
      </w:pPr>
      <w:r>
        <w:t xml:space="preserve">Emissions from the extraction, production, and processing of raw materials as detailed in the BOM.</w:t>
      </w:r>
    </w:p>
    <w:p>
      <w:pPr>
        <w:numPr>
          <w:ilvl w:val="0"/>
          <w:numId w:val="1017"/>
        </w:numPr>
        <w:pStyle w:val="Compact"/>
      </w:pPr>
      <w:r>
        <w:rPr>
          <w:bCs/>
          <w:b/>
        </w:rPr>
        <w:t xml:space="preserve">Total Material Carbon Impact (from BOM table):</w:t>
      </w:r>
      <w:r>
        <w:t xml:space="preserve"> </w:t>
      </w:r>
      <w:r>
        <w:t xml:space="preserve">11.575 kgCO2e</w:t>
      </w:r>
    </w:p>
    <w:p>
      <w:pPr>
        <w:numPr>
          <w:ilvl w:val="0"/>
          <w:numId w:val="1017"/>
        </w:numPr>
        <w:pStyle w:val="Compact"/>
      </w:pPr>
      <w:r>
        <w:rPr>
          <w:bCs/>
          <w:b/>
        </w:rPr>
        <w:t xml:space="preserve">Total Scope 3, Category 1 Emissions:</w:t>
      </w:r>
      <w:r>
        <w:t xml:space="preserve"> </w:t>
      </w:r>
      <w:r>
        <w:t xml:space="preserve">11.575 kgCO2e</w:t>
      </w:r>
    </w:p>
    <w:bookmarkEnd w:id="36"/>
    <w:bookmarkStart w:id="37" w:name="X6669a43143349c25ec93e775eebde43de53a73c"/>
    <w:p>
      <w:pPr>
        <w:pStyle w:val="Heading4"/>
      </w:pPr>
      <w:r>
        <w:t xml:space="preserve">3.3.2. Category 4: Upstream Transportation and Distribution</w:t>
      </w:r>
    </w:p>
    <w:p>
      <w:pPr>
        <w:pStyle w:val="FirstParagraph"/>
      </w:pPr>
      <w:r>
        <w:t xml:space="preserve">Emissions from transporting raw materials to the factory and finished products to the primary distribution center.</w:t>
      </w:r>
    </w:p>
    <w:p>
      <w:pPr>
        <w:numPr>
          <w:ilvl w:val="0"/>
          <w:numId w:val="1018"/>
        </w:numPr>
        <w:pStyle w:val="Compact"/>
      </w:pPr>
      <w:r>
        <w:rPr>
          <w:bCs/>
          <w:b/>
        </w:rPr>
        <w:t xml:space="preserve">Raw Materials Transport (Europe to China):</w:t>
      </w:r>
    </w:p>
    <w:p>
      <w:pPr>
        <w:numPr>
          <w:ilvl w:val="1"/>
          <w:numId w:val="1019"/>
        </w:numPr>
        <w:pStyle w:val="Compact"/>
      </w:pPr>
      <w:r>
        <w:t xml:space="preserve">Product Weight: 0.7 kg = 0.0007 tonnes</w:t>
      </w:r>
    </w:p>
    <w:p>
      <w:pPr>
        <w:numPr>
          <w:ilvl w:val="1"/>
          <w:numId w:val="1019"/>
        </w:numPr>
        <w:pStyle w:val="Compact"/>
      </w:pPr>
      <w:r>
        <w:t xml:space="preserve">Distance: 15,000 km</w:t>
      </w:r>
    </w:p>
    <w:p>
      <w:pPr>
        <w:numPr>
          <w:ilvl w:val="1"/>
          <w:numId w:val="1019"/>
        </w:numPr>
        <w:pStyle w:val="Compact"/>
      </w:pPr>
      <w:r>
        <w:t xml:space="preserve">Emission Factor (Sea Freight): 0.016 kgCO2e/tonne-km</w:t>
      </w:r>
    </w:p>
    <w:p>
      <w:pPr>
        <w:numPr>
          <w:ilvl w:val="1"/>
          <w:numId w:val="1019"/>
        </w:numPr>
        <w:pStyle w:val="Compact"/>
      </w:pPr>
      <w:r>
        <w:rPr>
          <w:bCs/>
          <w:b/>
        </w:rPr>
        <w:t xml:space="preserve">Calculation:</w:t>
      </w:r>
      <w:r>
        <w:t xml:space="preserve"> </w:t>
      </w:r>
      <w:r>
        <w:t xml:space="preserve">0.0007 tonnes * 15,000 km * 0.016 kgCO2e/tonne-km = 0.168 kgCO2e</w:t>
      </w:r>
    </w:p>
    <w:p>
      <w:pPr>
        <w:numPr>
          <w:ilvl w:val="0"/>
          <w:numId w:val="1018"/>
        </w:numPr>
        <w:pStyle w:val="Compact"/>
      </w:pPr>
      <w:r>
        <w:rPr>
          <w:bCs/>
          <w:b/>
        </w:rPr>
        <w:t xml:space="preserve">Finished Product Transport (China to Europe Distribution):</w:t>
      </w:r>
    </w:p>
    <w:p>
      <w:pPr>
        <w:numPr>
          <w:ilvl w:val="1"/>
          <w:numId w:val="1020"/>
        </w:numPr>
        <w:pStyle w:val="Compact"/>
      </w:pPr>
      <w:r>
        <w:t xml:space="preserve">Product Weight: 0.7 kg = 0.0007 tonnes</w:t>
      </w:r>
    </w:p>
    <w:p>
      <w:pPr>
        <w:numPr>
          <w:ilvl w:val="1"/>
          <w:numId w:val="1020"/>
        </w:numPr>
        <w:pStyle w:val="Compact"/>
      </w:pPr>
      <w:r>
        <w:t xml:space="preserve">Distance: 15,000 km</w:t>
      </w:r>
    </w:p>
    <w:p>
      <w:pPr>
        <w:numPr>
          <w:ilvl w:val="1"/>
          <w:numId w:val="1020"/>
        </w:numPr>
        <w:pStyle w:val="Compact"/>
      </w:pPr>
      <w:r>
        <w:t xml:space="preserve">Emission Factor (Sea Freight): 0.016 kgCO2e/tonne-km</w:t>
      </w:r>
    </w:p>
    <w:p>
      <w:pPr>
        <w:numPr>
          <w:ilvl w:val="1"/>
          <w:numId w:val="1020"/>
        </w:numPr>
        <w:pStyle w:val="Compact"/>
      </w:pPr>
      <w:r>
        <w:rPr>
          <w:bCs/>
          <w:b/>
        </w:rPr>
        <w:t xml:space="preserve">Calculation:</w:t>
      </w:r>
      <w:r>
        <w:t xml:space="preserve"> </w:t>
      </w:r>
      <w:r>
        <w:t xml:space="preserve">0.0007 tonnes * 15,000 km * 0.016 kgCO2e/tonne-km = 0.168 kgCO2e</w:t>
      </w:r>
    </w:p>
    <w:p>
      <w:pPr>
        <w:numPr>
          <w:ilvl w:val="0"/>
          <w:numId w:val="1018"/>
        </w:numPr>
        <w:pStyle w:val="Compact"/>
      </w:pPr>
      <w:r>
        <w:rPr>
          <w:bCs/>
          <w:b/>
        </w:rPr>
        <w:t xml:space="preserve">Total Scope 3, Category 4 Emissions:</w:t>
      </w:r>
      <w:r>
        <w:t xml:space="preserve"> </w:t>
      </w:r>
      <w:r>
        <w:t xml:space="preserve">0.168 + 0.168 = 0.336 kgCO2e</w:t>
      </w:r>
    </w:p>
    <w:bookmarkEnd w:id="37"/>
    <w:bookmarkStart w:id="38" w:name="Xe6a609cc71639c4bb5b5bcd247c776c9d89fa33"/>
    <w:p>
      <w:pPr>
        <w:pStyle w:val="Heading4"/>
      </w:pPr>
      <w:r>
        <w:t xml:space="preserve">3.3.3. Category 9: Downstream Transportation and Distribution (Last-Mile Delivery)</w:t>
      </w:r>
    </w:p>
    <w:p>
      <w:pPr>
        <w:pStyle w:val="FirstParagraph"/>
      </w:pPr>
      <w:r>
        <w:t xml:space="preserve">Emissions from delivering the finished product from the distribution center to the end-customer.</w:t>
      </w:r>
    </w:p>
    <w:p>
      <w:pPr>
        <w:numPr>
          <w:ilvl w:val="0"/>
          <w:numId w:val="1021"/>
        </w:numPr>
        <w:pStyle w:val="Compact"/>
      </w:pPr>
      <w:r>
        <w:rPr>
          <w:bCs/>
          <w:b/>
        </w:rPr>
        <w:t xml:space="preserve">Last-Mile Delivery (Europe Distribution to Customer):</w:t>
      </w:r>
    </w:p>
    <w:p>
      <w:pPr>
        <w:numPr>
          <w:ilvl w:val="1"/>
          <w:numId w:val="1022"/>
        </w:numPr>
        <w:pStyle w:val="Compact"/>
      </w:pPr>
      <w:r>
        <w:t xml:space="preserve">Product Weight: 0.7 kg = 0.0007 tonnes</w:t>
      </w:r>
    </w:p>
    <w:p>
      <w:pPr>
        <w:numPr>
          <w:ilvl w:val="1"/>
          <w:numId w:val="1022"/>
        </w:numPr>
        <w:pStyle w:val="Compact"/>
      </w:pPr>
      <w:r>
        <w:t xml:space="preserve">Distance: 500 km</w:t>
      </w:r>
    </w:p>
    <w:p>
      <w:pPr>
        <w:numPr>
          <w:ilvl w:val="1"/>
          <w:numId w:val="1022"/>
        </w:numPr>
        <w:pStyle w:val="Compact"/>
      </w:pPr>
      <w:r>
        <w:t xml:space="preserve">Emission Factor (Road Freight, Van): 0.2 kgCO2e/tonne-km (estimated)</w:t>
      </w:r>
    </w:p>
    <w:p>
      <w:pPr>
        <w:numPr>
          <w:ilvl w:val="1"/>
          <w:numId w:val="1022"/>
        </w:numPr>
        <w:pStyle w:val="Compact"/>
      </w:pPr>
      <w:r>
        <w:rPr>
          <w:bCs/>
          <w:b/>
        </w:rPr>
        <w:t xml:space="preserve">Calculation:</w:t>
      </w:r>
      <w:r>
        <w:t xml:space="preserve"> </w:t>
      </w:r>
      <w:r>
        <w:t xml:space="preserve">0.0007 tonnes * 500 km * 0.2 kgCO2e/tonne-km = 0.070 kgCO2e</w:t>
      </w:r>
    </w:p>
    <w:p>
      <w:pPr>
        <w:numPr>
          <w:ilvl w:val="0"/>
          <w:numId w:val="1021"/>
        </w:numPr>
        <w:pStyle w:val="Compact"/>
      </w:pPr>
      <w:r>
        <w:rPr>
          <w:bCs/>
          <w:b/>
        </w:rPr>
        <w:t xml:space="preserve">Total Scope 3, Category 9 Emissions:</w:t>
      </w:r>
      <w:r>
        <w:t xml:space="preserve"> </w:t>
      </w:r>
      <w:r>
        <w:t xml:space="preserve">0.070 kgCO2e</w:t>
      </w:r>
    </w:p>
    <w:bookmarkEnd w:id="38"/>
    <w:bookmarkStart w:id="39" w:name="category-11-use-of-sold-products"/>
    <w:p>
      <w:pPr>
        <w:pStyle w:val="Heading4"/>
      </w:pPr>
      <w:r>
        <w:t xml:space="preserve">3.3.4. Category 11: Use of Sold Products</w:t>
      </w:r>
    </w:p>
    <w:p>
      <w:pPr>
        <w:pStyle w:val="FirstParagraph"/>
      </w:pPr>
      <w:r>
        <w:t xml:space="preserve">Emissions from the energy consumed by the product during its lifespan.</w:t>
      </w:r>
    </w:p>
    <w:p>
      <w:pPr>
        <w:numPr>
          <w:ilvl w:val="0"/>
          <w:numId w:val="1023"/>
        </w:numPr>
        <w:pStyle w:val="Compact"/>
      </w:pPr>
      <w:r>
        <w:t xml:space="preserve">Product Lifespan: 5 years [yjenkovqsi]</w:t>
      </w:r>
    </w:p>
    <w:p>
      <w:pPr>
        <w:numPr>
          <w:ilvl w:val="0"/>
          <w:numId w:val="1023"/>
        </w:numPr>
        <w:pStyle w:val="Compact"/>
      </w:pPr>
      <w:r>
        <w:t xml:space="preserve">Annual Energy Consumption: 10 kWh/year [furiovyddh]</w:t>
      </w:r>
    </w:p>
    <w:p>
      <w:pPr>
        <w:numPr>
          <w:ilvl w:val="0"/>
          <w:numId w:val="1023"/>
        </w:numPr>
        <w:pStyle w:val="Compact"/>
      </w:pPr>
      <w:r>
        <w:t xml:space="preserve">Grid Electricity Emission Factor (Europe): 0.25 kgCO2e/kWh</w:t>
      </w:r>
    </w:p>
    <w:p>
      <w:pPr>
        <w:numPr>
          <w:ilvl w:val="0"/>
          <w:numId w:val="1023"/>
        </w:numPr>
        <w:pStyle w:val="Compact"/>
      </w:pPr>
      <w:r>
        <w:rPr>
          <w:bCs/>
          <w:b/>
        </w:rPr>
        <w:t xml:space="preserve">Calculation:</w:t>
      </w:r>
      <w:r>
        <w:t xml:space="preserve"> </w:t>
      </w:r>
      <w:r>
        <w:t xml:space="preserve">5 years * 10 kWh/year * 0.25 kgCO2e/kWh = 12.50 kgCO2e</w:t>
      </w:r>
    </w:p>
    <w:p>
      <w:pPr>
        <w:numPr>
          <w:ilvl w:val="0"/>
          <w:numId w:val="1023"/>
        </w:numPr>
        <w:pStyle w:val="Compact"/>
      </w:pPr>
      <w:r>
        <w:rPr>
          <w:bCs/>
          <w:b/>
        </w:rPr>
        <w:t xml:space="preserve">Total Scope 3, Category 11 Emissions:</w:t>
      </w:r>
      <w:r>
        <w:t xml:space="preserve"> </w:t>
      </w:r>
      <w:r>
        <w:t xml:space="preserve">12.50 kgCO2e</w:t>
      </w:r>
    </w:p>
    <w:bookmarkEnd w:id="39"/>
    <w:bookmarkStart w:id="40" w:name="X9f66eef2700632e081dfe139021cb724ffcd2c5"/>
    <w:p>
      <w:pPr>
        <w:pStyle w:val="Heading4"/>
      </w:pPr>
      <w:r>
        <w:t xml:space="preserve">3.3.5. Category 12: End-of-Life Treatment of Sold Products</w:t>
      </w:r>
    </w:p>
    <w:p>
      <w:pPr>
        <w:pStyle w:val="FirstParagraph"/>
      </w:pPr>
      <w:r>
        <w:t xml:space="preserve">Emissions (and avoided emissions/credits) associated with the disposal and recycling of sdvliskowl.</w:t>
      </w:r>
    </w:p>
    <w:p>
      <w:pPr>
        <w:numPr>
          <w:ilvl w:val="0"/>
          <w:numId w:val="1024"/>
        </w:numPr>
        <w:pStyle w:val="Compact"/>
      </w:pPr>
      <w:r>
        <w:t xml:space="preserve">Total Product Weight: 0.7 kg</w:t>
      </w:r>
    </w:p>
    <w:p>
      <w:pPr>
        <w:numPr>
          <w:ilvl w:val="0"/>
          <w:numId w:val="1024"/>
        </w:numPr>
        <w:pStyle w:val="Compact"/>
      </w:pPr>
      <w:r>
        <w:t xml:space="preserve">Recyclability Percentage: 70% [opgrskjdnq]</w:t>
      </w:r>
    </w:p>
    <w:p>
      <w:pPr>
        <w:numPr>
          <w:ilvl w:val="0"/>
          <w:numId w:val="1024"/>
        </w:numPr>
        <w:pStyle w:val="Compact"/>
      </w:pPr>
      <w:r>
        <w:t xml:space="preserve">Non-Recycled Portion: 0.7 kg * (1 - 0.70) = 0.21 kg</w:t>
      </w:r>
    </w:p>
    <w:p>
      <w:pPr>
        <w:numPr>
          <w:ilvl w:val="0"/>
          <w:numId w:val="1024"/>
        </w:numPr>
        <w:pStyle w:val="Compact"/>
      </w:pPr>
      <w:r>
        <w:t xml:space="preserve">Recycled Portion: 0.7 kg * 0.70 = 0.49 kg</w:t>
      </w:r>
    </w:p>
    <w:p>
      <w:pPr>
        <w:numPr>
          <w:ilvl w:val="0"/>
          <w:numId w:val="1024"/>
        </w:numPr>
        <w:pStyle w:val="Compact"/>
      </w:pPr>
      <w:r>
        <w:rPr>
          <w:bCs/>
          <w:b/>
        </w:rPr>
        <w:t xml:space="preserve">Non-Recycled Disposal Emissions:</w:t>
      </w:r>
    </w:p>
    <w:p>
      <w:pPr>
        <w:numPr>
          <w:ilvl w:val="1"/>
          <w:numId w:val="1025"/>
        </w:numPr>
        <w:pStyle w:val="Compact"/>
      </w:pPr>
      <w:r>
        <w:t xml:space="preserve">Factor (Landfill/Incineration): 0.5 kgCO2e/kg</w:t>
      </w:r>
    </w:p>
    <w:p>
      <w:pPr>
        <w:numPr>
          <w:ilvl w:val="1"/>
          <w:numId w:val="1025"/>
        </w:numPr>
        <w:pStyle w:val="Compact"/>
      </w:pPr>
      <w:r>
        <w:rPr>
          <w:bCs/>
          <w:b/>
        </w:rPr>
        <w:t xml:space="preserve">Calculation:</w:t>
      </w:r>
      <w:r>
        <w:t xml:space="preserve"> </w:t>
      </w:r>
      <w:r>
        <w:t xml:space="preserve">0.21 kg * 0.5 kgCO2e/kg = 0.105 kgCO2e</w:t>
      </w:r>
    </w:p>
    <w:p>
      <w:pPr>
        <w:numPr>
          <w:ilvl w:val="0"/>
          <w:numId w:val="1024"/>
        </w:numPr>
        <w:pStyle w:val="Compact"/>
      </w:pPr>
      <w:r>
        <w:rPr>
          <w:bCs/>
          <w:b/>
        </w:rPr>
        <w:t xml:space="preserve">Recycling Credit (Avoided Emissions):</w:t>
      </w:r>
    </w:p>
    <w:p>
      <w:pPr>
        <w:numPr>
          <w:ilvl w:val="1"/>
          <w:numId w:val="1026"/>
        </w:numPr>
        <w:pStyle w:val="Compact"/>
      </w:pPr>
      <w:r>
        <w:t xml:space="preserve">Total Virgin Material Impact (from BOM): 11.575 kgCO2e</w:t>
      </w:r>
    </w:p>
    <w:p>
      <w:pPr>
        <w:numPr>
          <w:ilvl w:val="1"/>
          <w:numId w:val="1026"/>
        </w:numPr>
        <w:pStyle w:val="Compact"/>
      </w:pPr>
      <w:r>
        <w:t xml:space="preserve">Assumed Credit Rate: 60% of virgin material impact for the recycled portion. This represents the emissions saved by using recycled content instead of new virgin materials, proportional to the weight of recycled material relative to the total product weight.</w:t>
      </w:r>
    </w:p>
    <w:p>
      <w:pPr>
        <w:numPr>
          <w:ilvl w:val="1"/>
          <w:numId w:val="1026"/>
        </w:numPr>
        <w:pStyle w:val="Compact"/>
      </w:pPr>
      <w:r>
        <w:t xml:space="preserve">Proportional Virgin Material Impact for Recycled Weight: (0.49 kg / 0.7 kg) * 11.575 kgCO2e = 8.1025 kgCO2e</w:t>
      </w:r>
    </w:p>
    <w:p>
      <w:pPr>
        <w:numPr>
          <w:ilvl w:val="1"/>
          <w:numId w:val="1026"/>
        </w:numPr>
        <w:pStyle w:val="Compact"/>
      </w:pPr>
      <w:r>
        <w:rPr>
          <w:bCs/>
          <w:b/>
        </w:rPr>
        <w:t xml:space="preserve">Calculation:</w:t>
      </w:r>
      <w:r>
        <w:t xml:space="preserve"> </w:t>
      </w:r>
      <w:r>
        <w:t xml:space="preserve">- (8.1025 kgCO2e * 0.60) = -4.8615 kgCO2e (negative as it\'s a credit)</w:t>
      </w:r>
    </w:p>
    <w:p>
      <w:pPr>
        <w:numPr>
          <w:ilvl w:val="0"/>
          <w:numId w:val="1024"/>
        </w:numPr>
        <w:pStyle w:val="Compact"/>
      </w:pPr>
      <w:r>
        <w:rPr>
          <w:bCs/>
          <w:b/>
        </w:rPr>
        <w:t xml:space="preserve">Total Scope 3, Category 12 Emissions:</w:t>
      </w:r>
      <w:r>
        <w:t xml:space="preserve"> </w:t>
      </w:r>
      <w:r>
        <w:t xml:space="preserve">0.105 kgCO2e - 4.8615 kgCO2e = -4.7565 kgCO2e</w:t>
      </w:r>
    </w:p>
    <w:bookmarkEnd w:id="40"/>
    <w:bookmarkEnd w:id="41"/>
    <w:bookmarkStart w:id="42" w:name="X3bb38779a9e6e2ee86d297bab206d9825b5edcd"/>
    <w:p>
      <w:pPr>
        <w:pStyle w:val="Heading3"/>
      </w:pPr>
      <w:r>
        <w:t xml:space="preserve">3.4. Total Product Carbon Footprint (PCF)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7.80</w:t>
            </w:r>
          </w:p>
        </w:tc>
      </w:tr>
      <w:tr>
        <w:tc>
          <w:tcPr>
            <w:vMerge w:val="restart"/>
          </w:tcPr>
          <w:p>
            <w:pPr>
              <w:pStyle w:val="Compact"/>
              <w:jc w:val="left"/>
            </w:pPr>
            <w:r>
              <w:rPr>
                <w:bCs/>
                <w:b/>
              </w:rPr>
              <w:t xml:space="preserve">Scope 3</w:t>
            </w:r>
          </w:p>
        </w:tc>
        <w:tc>
          <w:tcPr/>
          <w:p>
            <w:pPr>
              <w:pStyle w:val="Compact"/>
              <w:jc w:val="left"/>
            </w:pPr>
            <w:r>
              <w:t xml:space="preserve">Category 1: Purchased Goods and Services (Materials)</w:t>
            </w:r>
          </w:p>
        </w:tc>
        <w:tc>
          <w:tcPr/>
          <w:p>
            <w:pPr>
              <w:pStyle w:val="Compact"/>
              <w:jc w:val="left"/>
            </w:pPr>
            <w:r>
              <w:t xml:space="preserve">11.575</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0.336</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0.070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-4.7565</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27.5245</w:t>
            </w:r>
          </w:p>
        </w:tc>
      </w:tr>
    </w:tbl>
    <w:p>
      <w:pPr>
        <w:pStyle w:val="BodyText"/>
      </w:pPr>
      <w:r>
        <w:rPr>
          <w:bCs/>
          <w:b/>
        </w:rPr>
        <w:t xml:space="preserve">Total PCF for sdvliskowl: 27.52 kgCO2e per unit.</w:t>
      </w:r>
    </w:p>
    <w:bookmarkEnd w:id="42"/>
    <w:bookmarkStart w:id="43" w:name="lsr-update-scope-3-compliance"/>
    <w:p>
      <w:pPr>
        <w:pStyle w:val="Heading3"/>
      </w:pPr>
      <w:r>
        <w:t xml:space="preserve">3.5. 2026 LSR Update &amp; Scope 3 Compliance</w:t>
      </w:r>
    </w:p>
    <w:p>
      <w:pPr>
        <w:numPr>
          <w:ilvl w:val="0"/>
          <w:numId w:val="1027"/>
        </w:numPr>
        <w:pStyle w:val="Compact"/>
      </w:pPr>
      <w:r>
        <w:rPr>
          <w:bCs/>
          <w:b/>
        </w:rPr>
        <w:t xml:space="preserve">Land Sector and Removals (LSR) Standard:</w:t>
      </w:r>
      <w:r>
        <w:t xml:space="preserve"> </w:t>
      </w:r>
      <w:r>
        <w:t xml:space="preserve">While specific land use data for material sourcing (e.g., deforestation for specific raw materials) was not provided, the methodology acknowledges the importance of the 2026 LSR Standard. In a full primary data assessment, emissions and removals from land use change associated with raw material production would be quantified and reported. For this analysis, it is assumed that the generic emission factors for materials (e.g., primary aluminum, plastic) implicitly contain average land-use impacts, though direct removals are not explicitly calculated without more specific data.</w:t>
      </w:r>
    </w:p>
    <w:p>
      <w:pPr>
        <w:numPr>
          <w:ilvl w:val="0"/>
          <w:numId w:val="1027"/>
        </w:numPr>
        <w:pStyle w:val="Compact"/>
      </w:pPr>
      <w:r>
        <w:rPr>
          <w:bCs/>
          <w:b/>
        </w:rPr>
        <w:t xml:space="preserve">Scope 3 Coverage:</w:t>
      </w:r>
      <w:r>
        <w:t xml:space="preserve"> </w:t>
      </w:r>
      <w:r>
        <w:t xml:space="preserve">The analysis covers Categories 1, 4, 9, 11, and 12, which typically constitute the vast majority of a product\'s value chain emissions. With these categories addressed, the report aims to achieve at least 95% coverage for Scope 3 reporting, in line with 2026 requirements for comprehensive value chain transparency.</w:t>
      </w:r>
    </w:p>
    <w:p>
      <w:r>
        <w:pict>
          <v:rect style="width:0;height:1.5pt" o:hralign="center" o:hrstd="t" o:hr="t"/>
        </w:pict>
      </w:r>
    </w:p>
    <w:bookmarkEnd w:id="43"/>
    <w:bookmarkEnd w:id="44"/>
    <w:bookmarkStart w:id="48" w:name="review-and-reporting"/>
    <w:p>
      <w:pPr>
        <w:pStyle w:val="Heading2"/>
      </w:pPr>
      <w:r>
        <w:t xml:space="preserve">4. Review and Reporting</w:t>
      </w:r>
    </w:p>
    <w:bookmarkStart w:id="45" w:name="emission-hotspots"/>
    <w:p>
      <w:pPr>
        <w:pStyle w:val="Heading3"/>
      </w:pPr>
      <w:r>
        <w:t xml:space="preserve">4.1. Emission Hotspots</w:t>
      </w:r>
    </w:p>
    <w:p>
      <w:pPr>
        <w:pStyle w:val="FirstParagraph"/>
      </w:pPr>
      <w:r>
        <w:t xml:space="preserve">The primary emission hotspots for sdvliskowl are identified as follows:</w:t>
      </w:r>
    </w:p>
    <w:p>
      <w:pPr>
        <w:numPr>
          <w:ilvl w:val="0"/>
          <w:numId w:val="1028"/>
        </w:numPr>
        <w:pStyle w:val="Compact"/>
      </w:pPr>
      <w:r>
        <w:rPr>
          <w:bCs/>
          <w:b/>
        </w:rPr>
        <w:t xml:space="preserve">Category 11: Use of Sold Products (12.50 kgCO2e):</w:t>
      </w:r>
      <w:r>
        <w:t xml:space="preserve"> </w:t>
      </w:r>
      <w:r>
        <w:t xml:space="preserve">The energy consumed during the product\'s 5-year lifespan is a significant contributor, primarily due to electricity consumption in the consumer region (Europe).</w:t>
      </w:r>
    </w:p>
    <w:p>
      <w:pPr>
        <w:numPr>
          <w:ilvl w:val="0"/>
          <w:numId w:val="1028"/>
        </w:numPr>
        <w:pStyle w:val="Compact"/>
      </w:pPr>
      <w:r>
        <w:rPr>
          <w:bCs/>
          <w:b/>
        </w:rPr>
        <w:t xml:space="preserve">Category 1: Purchased Goods and Services (11.575 kgCO2e):</w:t>
      </w:r>
      <w:r>
        <w:t xml:space="preserve"> </w:t>
      </w:r>
      <w:r>
        <w:t xml:space="preserve">The carbon footprint of raw materials, especially the circuit board and aluminum casing, contributes substantially to the overall PCF.</w:t>
      </w:r>
    </w:p>
    <w:p>
      <w:pPr>
        <w:numPr>
          <w:ilvl w:val="0"/>
          <w:numId w:val="1028"/>
        </w:numPr>
        <w:pStyle w:val="Compact"/>
      </w:pPr>
      <w:r>
        <w:rPr>
          <w:bCs/>
          <w:b/>
        </w:rPr>
        <w:t xml:space="preserve">Scope 2: Purchased Electricity (7.80 kgCO2e):</w:t>
      </w:r>
      <w:r>
        <w:t xml:space="preserve"> </w:t>
      </w:r>
      <w:r>
        <w:t xml:space="preserve">The manufacturing energy in China, despite 40% renewable usage, still represents a notable portion due to the grid\'s emission intensity.</w:t>
      </w:r>
    </w:p>
    <w:p>
      <w:pPr>
        <w:numPr>
          <w:ilvl w:val="0"/>
          <w:numId w:val="1028"/>
        </w:numPr>
        <w:pStyle w:val="Compact"/>
      </w:pPr>
      <w:r>
        <w:rPr>
          <w:bCs/>
          <w:b/>
        </w:rPr>
        <w:t xml:space="preserve">Category 12: End-of-Life Treatment (-4.7565 kgCO2e):</w:t>
      </w:r>
      <w:r>
        <w:t xml:space="preserve"> </w:t>
      </w:r>
      <w:r>
        <w:t xml:space="preserve">The significant recycling credit positively impacts the overall footprint, highlighting the effectiveness of circular economy initiatives and recyclability.</w:t>
      </w:r>
    </w:p>
    <w:bookmarkEnd w:id="45"/>
    <w:bookmarkStart w:id="46" w:name="reliability-and-limitations"/>
    <w:p>
      <w:pPr>
        <w:pStyle w:val="Heading3"/>
      </w:pPr>
      <w:r>
        <w:t xml:space="preserve">4.2. Reliability and Limitations</w:t>
      </w:r>
    </w:p>
    <w:p>
      <w:pPr>
        <w:pStyle w:val="FirstParagraph"/>
      </w:pPr>
      <w:r>
        <w:t xml:space="preserve">The reliability of this PCF relies on the accuracy of the provided parameters and the chosen emission factors.</w:t>
      </w:r>
    </w:p>
    <w:p>
      <w:pPr>
        <w:numPr>
          <w:ilvl w:val="0"/>
          <w:numId w:val="1029"/>
        </w:numPr>
        <w:pStyle w:val="Compact"/>
      </w:pPr>
      <w:r>
        <w:rPr>
          <w:bCs/>
          <w:b/>
        </w:rPr>
        <w:t xml:space="preserve">Data Inputs:</w:t>
      </w:r>
      <w:r>
        <w:t xml:space="preserve"> </w:t>
      </w:r>
      <w:r>
        <w:t xml:space="preserve">Where specific data (e.g., BOM, energy intensity, lifespan) were provided, they were directly used. For generic items or missing specifics (e.g., exact transport mode details, specific EoL processes per material type), industry-average emission factors were applied.</w:t>
      </w:r>
    </w:p>
    <w:p>
      <w:pPr>
        <w:numPr>
          <w:ilvl w:val="0"/>
          <w:numId w:val="1029"/>
        </w:numPr>
        <w:pStyle w:val="Compact"/>
      </w:pPr>
      <w:r>
        <w:rPr>
          <w:bCs/>
          <w:b/>
        </w:rPr>
        <w:t xml:space="preserve">Emission Factors:</w:t>
      </w:r>
      <w:r>
        <w:t xml:space="preserve"> </w:t>
      </w:r>
      <w:r>
        <w:t xml:space="preserve">Industry-standard emission factors (e.g., proxies from Ecoinvent/DEFRA equivalents) were utilized. Actual emissions could vary with supplier-specific or region-specific data.</w:t>
      </w:r>
    </w:p>
    <w:p>
      <w:pPr>
        <w:numPr>
          <w:ilvl w:val="0"/>
          <w:numId w:val="1029"/>
        </w:numPr>
        <w:pStyle w:val="Compact"/>
      </w:pPr>
      <w:r>
        <w:rPr>
          <w:bCs/>
          <w:b/>
        </w:rPr>
        <w:t xml:space="preserve">System Boundary:</w:t>
      </w:r>
      <w:r>
        <w:t xml:space="preserve"> </w:t>
      </w:r>
      <w:r>
        <w:t xml:space="preserve">The expansion to a cradle-to-grave boundary, while comprehensive, relies on assumptions for use-phase and EoL scenarios.</w:t>
      </w:r>
    </w:p>
    <w:p>
      <w:pPr>
        <w:numPr>
          <w:ilvl w:val="0"/>
          <w:numId w:val="1029"/>
        </w:numPr>
        <w:pStyle w:val="Compact"/>
      </w:pPr>
      <w:r>
        <w:rPr>
          <w:bCs/>
          <w:b/>
        </w:rPr>
        <w:t xml:space="preserve">Placeholder Values:</w:t>
      </w:r>
      <w:r>
        <w:t xml:space="preserve"> </w:t>
      </w:r>
      <w:r>
        <w:t xml:space="preserve">Several parameters were provided as placeholders (e.g., specific transport distances, renewable energy percentage). Illustrative values were assumed for these, and primary data collection would enhance accuracy.</w:t>
      </w:r>
    </w:p>
    <w:bookmarkEnd w:id="46"/>
    <w:bookmarkStart w:id="47" w:name="recommendations-for-further-reduction"/>
    <w:p>
      <w:pPr>
        <w:pStyle w:val="Heading3"/>
      </w:pPr>
      <w:r>
        <w:t xml:space="preserve">4.3. Recommendations for Further Reduction</w:t>
      </w:r>
    </w:p>
    <w:p>
      <w:pPr>
        <w:pStyle w:val="FirstParagraph"/>
      </w:pPr>
      <w:r>
        <w:t xml:space="preserve">Based on this analysis, ijfifxlwpg could focus on the following areas to reduce the PCF of sdvliskowl:</w:t>
      </w:r>
    </w:p>
    <w:p>
      <w:pPr>
        <w:numPr>
          <w:ilvl w:val="0"/>
          <w:numId w:val="1030"/>
        </w:numPr>
        <w:pStyle w:val="Compact"/>
      </w:pPr>
      <w:r>
        <w:rPr>
          <w:bCs/>
          <w:b/>
        </w:rPr>
        <w:t xml:space="preserve">Reduce Use Phase Energy:</w:t>
      </w:r>
      <w:r>
        <w:t xml:space="preserve"> </w:t>
      </w:r>
      <w:r>
        <w:t xml:space="preserve">Innovate to design more energy-efficient products, or explore renewable energy options for consumers.</w:t>
      </w:r>
    </w:p>
    <w:p>
      <w:pPr>
        <w:numPr>
          <w:ilvl w:val="0"/>
          <w:numId w:val="1030"/>
        </w:numPr>
        <w:pStyle w:val="Compact"/>
      </w:pPr>
      <w:r>
        <w:rPr>
          <w:bCs/>
          <w:b/>
        </w:rPr>
        <w:t xml:space="preserve">Material Optimization:</w:t>
      </w:r>
      <w:r>
        <w:t xml:space="preserve"> </w:t>
      </w:r>
      <w:r>
        <w:t xml:space="preserve">Investigate lower-carbon alternatives for high-impact materials (e.g., secondary/recycled aluminum, bioplastics), or optimize material usage to reduce weight.</w:t>
      </w:r>
    </w:p>
    <w:p>
      <w:pPr>
        <w:numPr>
          <w:ilvl w:val="0"/>
          <w:numId w:val="1030"/>
        </w:numPr>
        <w:pStyle w:val="Compact"/>
      </w:pPr>
      <w:r>
        <w:rPr>
          <w:bCs/>
          <w:b/>
        </w:rPr>
        <w:t xml:space="preserve">Increase Renewable Energy in Manufacturing:</w:t>
      </w:r>
      <w:r>
        <w:t xml:space="preserve"> </w:t>
      </w:r>
      <w:r>
        <w:t xml:space="preserve">Further increase the share of renewable electricity at the China production facility to reduce Scope 2 emissions.</w:t>
      </w:r>
    </w:p>
    <w:p>
      <w:pPr>
        <w:numPr>
          <w:ilvl w:val="0"/>
          <w:numId w:val="1030"/>
        </w:numPr>
        <w:pStyle w:val="Compact"/>
      </w:pPr>
      <w:r>
        <w:rPr>
          <w:bCs/>
          <w:b/>
        </w:rPr>
        <w:t xml:space="preserve">Enhance Circularity:</w:t>
      </w:r>
      <w:r>
        <w:t xml:space="preserve"> </w:t>
      </w:r>
      <w:r>
        <w:t xml:space="preserve">Strengthen take-back programs and design for even higher recyclability and ease of disassembly to maximize EoL credits and minimize waste. Explore options for product-as-a-service models to extend lifespan and manage EoL effectively.</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sdvliskowl</dc:title>
  <dc:creator/>
  <dc:description>High-detail Product Carbon Footprint (PCF) analysis for sdvliskowl by Senior Sustainability Consultant vwpdhokoif for ijfifxlwpg, adhering to GHG Protocol and 2026 LSR update.</dc:description>
  <dc:language>en</dc:language>
  <cp:keywords/>
  <dcterms:created xsi:type="dcterms:W3CDTF">2026-05-30T16:48:57Z</dcterms:created>
  <dcterms:modified xsi:type="dcterms:W3CDTF">2026-05-30T16:48:57Z</dcterms:modified>
</cp:coreProperties>
</file>

<file path=docProps/custom.xml><?xml version="1.0" encoding="utf-8"?>
<Properties xmlns="http://schemas.openxmlformats.org/officeDocument/2006/custom-properties" xmlns:vt="http://schemas.openxmlformats.org/officeDocument/2006/docPropsVTypes"/>
</file>