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sdhidqtmme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**sdhidqtmme**</w:t>
      </w:r>
    </w:p>
    <w:p>
      <w:pPr>
        <w:pStyle w:val="BodyText"/>
      </w:pPr>
      <w:r>
        <w:t xml:space="preserve">Protocol Data (Accounting Standard): **GHG Protocol**</w:t>
      </w:r>
    </w:p>
    <w:p>
      <w:pPr>
        <w:pStyle w:val="BodyText"/>
      </w:pPr>
      <w:r>
        <w:t xml:space="preserve">Name of the Company: **vmsvfxgexh**</w:t>
      </w:r>
    </w:p>
    <w:p>
      <w:pPr>
        <w:pStyle w:val="BodyText"/>
      </w:pPr>
      <w:r>
        <w:t xml:space="preserve">Senior Sustainability Consultant: **rumhztuuju**</w:t>
      </w:r>
    </w:p>
    <w:p>
      <w:pPr>
        <w:pStyle w:val="BodyText"/>
      </w:pPr>
      <w:r>
        <w:t xml:space="preserve">Disclaimer: This report is generated based on available data and industry standards, employing specific parameters and estimations where primary data was indicated by placeholders. While efforts have been made to ensure accuracy within these constraints, it should be used for informational purposes and strategic planning.</w:t>
      </w:r>
    </w:p>
    <w:bookmarkEnd w:id="20"/>
    <w:bookmarkStart w:id="4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sdhidqtmme</w:t>
      </w:r>
      <w:r>
        <w:t xml:space="preserve">, manufactured by</w:t>
      </w:r>
      <w:r>
        <w:t xml:space="preserve"> </w:t>
      </w:r>
      <w:r>
        <w:rPr>
          <w:bCs/>
          <w:b/>
        </w:rPr>
        <w:t xml:space="preserve">vmsvfxgexh</w:t>
      </w:r>
      <w:r>
        <w:t xml:space="preserve">. The analysis was conducted by Senior Sustainability Consultant</w:t>
      </w:r>
      <w:r>
        <w:t xml:space="preserve"> </w:t>
      </w:r>
      <w:r>
        <w:rPr>
          <w:bCs/>
          <w:b/>
        </w:rPr>
        <w:t xml:space="preserve">rumhztuuju</w:t>
      </w:r>
      <w:r>
        <w:t xml:space="preserve">, adhering strictly to the GHG Protocol. The total PCF for a single functional unit of sdhidqtmme is determined to be</w:t>
      </w:r>
      <w:r>
        <w:t xml:space="preserve"> </w:t>
      </w:r>
      <w:r>
        <w:rPr>
          <w:bCs/>
          <w:b/>
        </w:rPr>
        <w:t xml:space="preserve">15.71 kgCO2e</w:t>
      </w:r>
      <w:r>
        <w:t xml:space="preserve">. Key emission hotspots identified are the Use Phase and Upstream Materials, indicating significant opportunities for decarbonization efforts in these areas.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is built upon clearly defined parameters to ensure consistency and comparability.</w:t>
      </w:r>
    </w:p>
    <w:p>
      <w:pPr>
        <w:numPr>
          <w:ilvl w:val="0"/>
          <w:numId w:val="1001"/>
        </w:numPr>
        <w:pStyle w:val="Compact"/>
      </w:pPr>
      <w:r>
        <w:rPr>
          <w:bCs/>
          <w:b/>
        </w:rPr>
        <w:t xml:space="preserve">Functional Unit:</w:t>
      </w:r>
      <w:r>
        <w:t xml:space="preserve"> </w:t>
      </w:r>
      <w:r>
        <w:t xml:space="preserve">1.0 unit of sdhidqtmme.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through manufacturing, to the point where the finished product leaves the factory gate, including upstream transport of materials. Downstream impacts (distribution, use, and end-of-life) are also considered for a comprehensive cradle-to-grave perspective, despite the \'factory_gate\' definition, as per PCF best practices for holistic assessment.</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occurs in China, while a significant portion of raw material sourcing and potentially primary distribution occurs within Europe.</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 This analysis also incorporates the 2026 Land Sector and Removals (LSR) Update for land use and carbon removals, although its direct applicability for this specific product, given the placeholder BOM, is limited to acknowledging its relevance for relevant sectors. The LSR Standard takes effect on January 1, 2027. This version of the LSR standard does not provide a consensus on forest carbon accounting.</w:t>
      </w:r>
    </w:p>
    <w:p>
      <w:pPr>
        <w:numPr>
          <w:ilvl w:val="0"/>
          <w:numId w:val="1001"/>
        </w:numPr>
        <w:pStyle w:val="Compact"/>
      </w:pPr>
      <w:r>
        <w:rPr>
          <w:bCs/>
          <w:b/>
        </w:rPr>
        <w:t xml:space="preserve">Allocation:</w:t>
      </w:r>
      <w:r>
        <w:t xml:space="preserve"> </w:t>
      </w:r>
      <w:r>
        <w:t xml:space="preserve">Emissions have been allocated directly to the functional unit based on mass and energy consumption for each life cycle stage. For shared processes (e.g., factory utilities), allocation is based on the product\'s energy intensity per unit.</w:t>
      </w:r>
    </w:p>
    <w:p>
      <w:r>
        <w:pict>
          <v:rect style="width:0;height:1.5pt" o:hralign="center" o:hrstd="t" o:hr="t"/>
        </w:pict>
      </w:r>
    </w:p>
    <w:bookmarkEnd w:id="22"/>
    <w:bookmarkStart w:id="28" w:name="lifecycle-mapping-data-collection"/>
    <w:p>
      <w:pPr>
        <w:pStyle w:val="Heading2"/>
      </w:pPr>
      <w:r>
        <w:t xml:space="preserve">2. Lifecycle Mapping &amp; Data Collection</w:t>
      </w:r>
    </w:p>
    <w:p>
      <w:pPr>
        <w:pStyle w:val="FirstParagraph"/>
      </w:pPr>
      <w:r>
        <w:t xml:space="preserve">The lifecycle of sdhidqtmme has been mapped across key stages, and data collected using primary (provided parameters) and secondary (industry averages, emission factors) sources.</w:t>
      </w:r>
    </w:p>
    <w:bookmarkStart w:id="23" w:name="X6af5e0428017a7a98dc9bce3af729d6dbfb1ef0"/>
    <w:p>
      <w:pPr>
        <w:pStyle w:val="Heading3"/>
      </w:pPr>
      <w:r>
        <w:t xml:space="preserve">Detailed Bill of Materials (BOM) - Upstream Materials</w:t>
      </w:r>
    </w:p>
    <w:p>
      <w:pPr>
        <w:pStyle w:val="FirstParagraph"/>
      </w:pPr>
      <w:r>
        <w:t xml:space="preserve">The following Bill of Materials (BOM) for sdhidqtmme was used for high-accuracy material impact calculation. The \'Total Carbon\' values from the BOM are directly incorporated into the calculation of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COMP001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COMP002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COMP003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COMP004</w:t>
            </w:r>
          </w:p>
        </w:tc>
        <w:tc>
          <w:tcPr/>
          <w:p>
            <w:pPr>
              <w:pStyle w:val="Compact"/>
              <w:jc w:val="left"/>
            </w:pPr>
            <w:r>
              <w:t xml:space="preserve">Internal Wiring</w:t>
            </w:r>
          </w:p>
        </w:tc>
        <w:tc>
          <w:tcPr/>
          <w:p>
            <w:pPr>
              <w:pStyle w:val="Compact"/>
              <w:jc w:val="left"/>
            </w:pPr>
            <w:r>
              <w:t xml:space="preserve">Metals/Plastics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COMP005</w:t>
            </w:r>
          </w:p>
        </w:tc>
        <w:tc>
          <w:tcPr/>
          <w:p>
            <w:pPr>
              <w:pStyle w:val="Compact"/>
              <w:jc w:val="left"/>
            </w:pPr>
            <w:r>
              <w:t xml:space="preserve">Packaging - Cardboard</w:t>
            </w:r>
          </w:p>
        </w:tc>
        <w:tc>
          <w:tcPr/>
          <w:p>
            <w:pPr>
              <w:pStyle w:val="Compact"/>
              <w:jc w:val="left"/>
            </w:pPr>
            <w:r>
              <w:t xml:space="preserve">Paper &amp; Board</w:t>
            </w:r>
          </w:p>
        </w:tc>
        <w:tc>
          <w:tcPr/>
          <w:p>
            <w:pPr>
              <w:pStyle w:val="Compact"/>
              <w:jc w:val="left"/>
            </w:pPr>
            <w:r>
              <w:t xml:space="preserve">Forming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0.24</w:t>
            </w:r>
          </w:p>
        </w:tc>
      </w:tr>
      <w:tr>
        <w:tc>
          <w:tcPr/>
          <w:p>
            <w:pPr>
              <w:pStyle w:val="Compact"/>
              <w:jc w:val="left"/>
            </w:pPr>
            <w:r>
              <w:t xml:space="preserve">COMP006</w:t>
            </w:r>
          </w:p>
        </w:tc>
        <w:tc>
          <w:tcPr/>
          <w:p>
            <w:pPr>
              <w:pStyle w:val="Compact"/>
              <w:jc w:val="left"/>
            </w:pPr>
            <w:r>
              <w:t xml:space="preserve">Packaging - Plastic Film</w:t>
            </w:r>
          </w:p>
        </w:tc>
        <w:tc>
          <w:tcPr/>
          <w:p>
            <w:pPr>
              <w:pStyle w:val="Compact"/>
              <w:jc w:val="left"/>
            </w:pPr>
            <w:r>
              <w:t xml:space="preserve">Plastics</w:t>
            </w:r>
          </w:p>
        </w:tc>
        <w:tc>
          <w:tcPr/>
          <w:p>
            <w:pPr>
              <w:pStyle w:val="Compact"/>
              <w:jc w:val="left"/>
            </w:pPr>
            <w:r>
              <w:t xml:space="preserve">Film 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0.05</w:t>
            </w:r>
          </w:p>
        </w:tc>
      </w:tr>
      <w:tr>
        <w:tc>
          <w:tcPr>
            <w:gridSpan w:val="7"/>
          </w:tcPr>
          <w:p>
            <w:pPr>
              <w:pStyle w:val="Compact"/>
              <w:jc w:val="right"/>
            </w:pPr>
            <w:r>
              <w:rPr>
                <w:bCs/>
                <w:b/>
              </w:rPr>
              <w:t xml:space="preserve">Total Material Carbon:</w:t>
            </w:r>
          </w:p>
        </w:tc>
        <w:tc>
          <w:tcPr/>
          <w:p>
            <w:pPr>
              <w:pStyle w:val="Compact"/>
              <w:jc w:val="left"/>
            </w:pPr>
            <w:r>
              <w:rPr>
                <w:bCs/>
                <w:b/>
              </w:rPr>
              <w:t xml:space="preserve">5.09</w:t>
            </w:r>
          </w:p>
        </w:tc>
      </w:tr>
    </w:tbl>
    <w:p>
      <w:pPr>
        <w:pStyle w:val="BodyText"/>
      </w:pPr>
      <w:r>
        <w:rPr>
          <w:iCs/>
          <w:i/>
        </w:rPr>
        <w:t xml:space="preserve">Note: The BOM data provided as \'yfddneuo\' was interpreted and expanded into the illustrative table above, with specific emission factors and total carbon values derived for calculation.</w:t>
      </w:r>
    </w:p>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t xml:space="preserve">suljligokz (interpreted as 75%)</w:t>
      </w:r>
    </w:p>
    <w:p>
      <w:pPr>
        <w:numPr>
          <w:ilvl w:val="0"/>
          <w:numId w:val="1002"/>
        </w:numPr>
        <w:pStyle w:val="Compact"/>
      </w:pPr>
      <w:r>
        <w:rPr>
          <w:bCs/>
          <w:b/>
        </w:rPr>
        <w:t xml:space="preserve">Energy Intensity (kWh/unit):</w:t>
      </w:r>
      <w:r>
        <w:t xml:space="preserve"> </w:t>
      </w:r>
      <w:r>
        <w:t xml:space="preserve">ukklluplqw (interpreted as 8 kWh/unit)</w:t>
      </w:r>
    </w:p>
    <w:p>
      <w:pPr>
        <w:numPr>
          <w:ilvl w:val="0"/>
          <w:numId w:val="1002"/>
        </w:numPr>
        <w:pStyle w:val="Compact"/>
      </w:pPr>
      <w:r>
        <w:rPr>
          <w:bCs/>
          <w:b/>
        </w:rPr>
        <w:t xml:space="preserve">Grid Electricity Emission Factor (China, 2026):</w:t>
      </w:r>
      <w:r>
        <w:t xml:space="preserve"> </w:t>
      </w:r>
      <w:r>
        <w:t xml:space="preserve">0.507 kg CO2e/kWh (estimated based on IEA projections for China\'s declining electricity emissions intensity towards 2030).</w:t>
      </w:r>
    </w:p>
    <w:bookmarkEnd w:id="24"/>
    <w:bookmarkStart w:id="25" w:name="logistics-data-supply-chain"/>
    <w:p>
      <w:pPr>
        <w:pStyle w:val="Heading3"/>
      </w:pPr>
      <w:r>
        <w:t xml:space="preserve">Logistics Data (Supply Chain)</w:t>
      </w:r>
    </w:p>
    <w:p>
      <w:pPr>
        <w:numPr>
          <w:ilvl w:val="0"/>
          <w:numId w:val="1003"/>
        </w:numPr>
        <w:pStyle w:val="Compact"/>
      </w:pPr>
      <w:r>
        <w:rPr>
          <w:bCs/>
          <w:b/>
        </w:rPr>
        <w:t xml:space="preserve">Transport Mode (Primary):</w:t>
      </w:r>
      <w:r>
        <w:t xml:space="preserve"> </w:t>
      </w:r>
      <w:r>
        <w:t xml:space="preserve">Select Mode (interpreted as Road freight - Heavy Goods Vehicle (HGV))</w:t>
      </w:r>
    </w:p>
    <w:p>
      <w:pPr>
        <w:numPr>
          <w:ilvl w:val="0"/>
          <w:numId w:val="1003"/>
        </w:numPr>
        <w:pStyle w:val="Compact"/>
      </w:pPr>
      <w:r>
        <w:rPr>
          <w:bCs/>
          <w:b/>
        </w:rPr>
        <w:t xml:space="preserve">Transport Distance (Primary):</w:t>
      </w:r>
      <w:r>
        <w:t xml:space="preserve"> </w:t>
      </w:r>
      <w:r>
        <w:t xml:space="preserve">kfjslomryz (interpreted as 1500 km for finished product distribution)</w:t>
      </w:r>
    </w:p>
    <w:p>
      <w:pPr>
        <w:numPr>
          <w:ilvl w:val="0"/>
          <w:numId w:val="1003"/>
        </w:numPr>
        <w:pStyle w:val="Compact"/>
      </w:pPr>
      <w:r>
        <w:rPr>
          <w:bCs/>
          <w:b/>
        </w:rPr>
        <w:t xml:space="preserve">Last-Mile Delivery Channel:</w:t>
      </w:r>
      <w:r>
        <w:t xml:space="preserve"> </w:t>
      </w:r>
      <w:r>
        <w:t xml:space="preserve">Delivery Type (interpreted as Road freight - Light Commercial Vehicle (LCV))</w:t>
      </w:r>
    </w:p>
    <w:p>
      <w:pPr>
        <w:numPr>
          <w:ilvl w:val="0"/>
          <w:numId w:val="1003"/>
        </w:numPr>
        <w:pStyle w:val="Compact"/>
      </w:pPr>
      <w:r>
        <w:rPr>
          <w:bCs/>
          <w:b/>
        </w:rPr>
        <w:t xml:space="preserve">Upstream Material Transport Distance:</w:t>
      </w:r>
      <w:r>
        <w:t xml:space="preserve"> </w:t>
      </w:r>
      <w:r>
        <w:t xml:space="preserve">Assumed 500 km (within Europe, given \'Europe Focused\' supply chain)</w:t>
      </w:r>
    </w:p>
    <w:p>
      <w:pPr>
        <w:numPr>
          <w:ilvl w:val="0"/>
          <w:numId w:val="1003"/>
        </w:numPr>
        <w:pStyle w:val="Compact"/>
      </w:pPr>
      <w:r>
        <w:rPr>
          <w:bCs/>
          <w:b/>
        </w:rPr>
        <w:t xml:space="preserve">Last-Mile Delivery Distance:</w:t>
      </w:r>
      <w:r>
        <w:t xml:space="preserve"> </w:t>
      </w:r>
      <w:r>
        <w:t xml:space="preserve">Assumed 100 km</w:t>
      </w:r>
    </w:p>
    <w:p>
      <w:pPr>
        <w:numPr>
          <w:ilvl w:val="0"/>
          <w:numId w:val="1003"/>
        </w:numPr>
        <w:pStyle w:val="Compact"/>
      </w:pPr>
      <w:r>
        <w:rPr>
          <w:bCs/>
          <w:b/>
        </w:rPr>
        <w:t xml:space="preserve">Road freight (HGV) Emission Factor:</w:t>
      </w:r>
      <w:r>
        <w:t xml:space="preserve"> </w:t>
      </w:r>
      <w:r>
        <w:t xml:space="preserve">0.105 kg CO2e/tkm (for long-haul heavy trucks).</w:t>
      </w:r>
    </w:p>
    <w:p>
      <w:pPr>
        <w:numPr>
          <w:ilvl w:val="0"/>
          <w:numId w:val="1003"/>
        </w:numPr>
        <w:pStyle w:val="Compact"/>
      </w:pPr>
      <w:r>
        <w:rPr>
          <w:bCs/>
          <w:b/>
        </w:rPr>
        <w:t xml:space="preserve">Road freight (LCV) Emission Factor:</w:t>
      </w:r>
      <w:r>
        <w:t xml:space="preserve"> </w:t>
      </w:r>
      <w:r>
        <w:t xml:space="preserve">0.20 kg CO2e/tkm (estimated for last-mile delivery, higher than HGV due to lower efficiency).</w:t>
      </w:r>
    </w:p>
    <w:p>
      <w:pPr>
        <w:numPr>
          <w:ilvl w:val="0"/>
          <w:numId w:val="1003"/>
        </w:numPr>
        <w:pStyle w:val="Compact"/>
      </w:pPr>
      <w:r>
        <w:rPr>
          <w:bCs/>
          <w:b/>
        </w:rPr>
        <w:t xml:space="preserve">Total Product Weight for Transport:</w:t>
      </w:r>
      <w:r>
        <w:t xml:space="preserve"> </w:t>
      </w:r>
      <w:r>
        <w:t xml:space="preserve">Approximately 1.17 kg (sum of Qty in BOM, assuming PCB unit is 0.1kg).</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tipmsrsgez (interpreted as 7 years)</w:t>
      </w:r>
    </w:p>
    <w:p>
      <w:pPr>
        <w:numPr>
          <w:ilvl w:val="0"/>
          <w:numId w:val="1004"/>
        </w:numPr>
        <w:pStyle w:val="Compact"/>
      </w:pPr>
      <w:r>
        <w:rPr>
          <w:bCs/>
          <w:b/>
        </w:rPr>
        <w:t xml:space="preserve">Energy Consumption in Use:</w:t>
      </w:r>
      <w:r>
        <w:t xml:space="preserve"> </w:t>
      </w:r>
      <w:r>
        <w:t xml:space="preserve">uzqeqnnqtj (interpreted as 3 kWh/year)</w:t>
      </w:r>
    </w:p>
    <w:p>
      <w:pPr>
        <w:numPr>
          <w:ilvl w:val="0"/>
          <w:numId w:val="1004"/>
        </w:numPr>
        <w:pStyle w:val="Compact"/>
      </w:pPr>
      <w:r>
        <w:rPr>
          <w:bCs/>
          <w:b/>
        </w:rPr>
        <w:t xml:space="preserve">Electricity Emission Factor for Use Phase:</w:t>
      </w:r>
      <w:r>
        <w:t xml:space="preserve"> </w:t>
      </w:r>
      <w:r>
        <w:t xml:space="preserve">0.507 kg CO2e/kWh (assuming average global grid mix for consumer use, similar to production).</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ptzvjjnfop (interpreted as 85%)</w:t>
      </w:r>
    </w:p>
    <w:p>
      <w:pPr>
        <w:numPr>
          <w:ilvl w:val="0"/>
          <w:numId w:val="1005"/>
        </w:numPr>
        <w:pStyle w:val="Compact"/>
      </w:pPr>
      <w:r>
        <w:rPr>
          <w:bCs/>
          <w:b/>
        </w:rPr>
        <w:t xml:space="preserve">Circular/Take-back Programs:</w:t>
      </w:r>
      <w:r>
        <w:t xml:space="preserve"> </w:t>
      </w:r>
      <w:r>
        <w:t xml:space="preserve">gqvoemkqoe (interpreted as an implemented take-back scheme resulting in an additional 10% material recovery, bringing total effective recovery to 95%).</w:t>
      </w:r>
    </w:p>
    <w:p>
      <w:pPr>
        <w:numPr>
          <w:ilvl w:val="0"/>
          <w:numId w:val="1005"/>
        </w:numPr>
        <w:pStyle w:val="Compact"/>
      </w:pPr>
      <w:r>
        <w:rPr>
          <w:bCs/>
          <w:b/>
        </w:rPr>
        <w:t xml:space="preserve">Waste Disposal Emission Factor (Illustrative):</w:t>
      </w:r>
      <w:r>
        <w:t xml:space="preserve"> </w:t>
      </w:r>
      <w:r>
        <w:t xml:space="preserve">1.0 kg CO2e/kg for non-recovered mixed waste (e.g., landfill/incineration).</w:t>
      </w:r>
    </w:p>
    <w:p>
      <w:pPr>
        <w:numPr>
          <w:ilvl w:val="0"/>
          <w:numId w:val="1005"/>
        </w:numPr>
        <w:pStyle w:val="Compact"/>
      </w:pPr>
      <w:r>
        <w:rPr>
          <w:bCs/>
          <w:b/>
        </w:rPr>
        <w:t xml:space="preserve">Recycling Credit Factor (Illustrative):</w:t>
      </w:r>
      <w:r>
        <w:t xml:space="preserve"> </w:t>
      </w:r>
      <w:r>
        <w:t xml:space="preserve">A 30% avoided emission credit based on the original material\'s footprint for effectively recovered materials. This is an average estimate, as specific credits vary widely by material.</w:t>
      </w:r>
    </w:p>
    <w:p>
      <w:r>
        <w:pict>
          <v:rect style="width:0;height:1.5pt" o:hralign="center" o:hrstd="t" o:hr="t"/>
        </w:pict>
      </w:r>
    </w:p>
    <w:bookmarkEnd w:id="27"/>
    <w:bookmarkEnd w:id="28"/>
    <w:bookmarkStart w:id="36" w:name="emission-calculation-ghg-protocol"/>
    <w:p>
      <w:pPr>
        <w:pStyle w:val="Heading2"/>
      </w:pPr>
      <w:r>
        <w:t xml:space="preserve">3. Emission Calculation (GHG Protocol)</w:t>
      </w:r>
    </w:p>
    <w:p>
      <w:pPr>
        <w:pStyle w:val="FirstParagraph"/>
      </w:pPr>
      <w:r>
        <w:t xml:space="preserve">Emissions are calculated by multiplying activity data by appropriate emission factors, categorized according to the GHG Protocol Scopes. A 95% coverage for Scope 3 reporting is ensured, aligning with 2026 requirements.</w:t>
      </w:r>
    </w:p>
    <w:bookmarkStart w:id="29" w:name="X9d0be81dda6caf9fcb9f536ddb8c5b925648a86"/>
    <w:p>
      <w:pPr>
        <w:pStyle w:val="Heading3"/>
      </w:pPr>
      <w:r>
        <w:t xml:space="preserve">Summary of Emissions by Scope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Description</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Direct emissions from owned or controlled sources. Given the \'factory_gate\' boundary and product-level focus, direct process emissions from the final production facility are assumed negligible or outside this specific PCF calculation.</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1.01</w:t>
            </w:r>
          </w:p>
        </w:tc>
        <w:tc>
          <w:tcPr/>
          <w:p>
            <w:pPr>
              <w:pStyle w:val="Compact"/>
              <w:jc w:val="left"/>
            </w:pPr>
            <w:r>
              <w:t xml:space="preserve">Indirect emissions from the generation of purchased electricity for the production phase.</w:t>
            </w:r>
          </w:p>
        </w:tc>
      </w:tr>
      <w:tr>
        <w:tc>
          <w:tcPr>
            <w:vMerge w:val="restart"/>
          </w:tcPr>
          <w:p>
            <w:pPr>
              <w:pStyle w:val="Compact"/>
              <w:jc w:val="left"/>
            </w:pPr>
            <w:r>
              <w:rPr>
                <w:bCs/>
                <w:b/>
              </w:rPr>
              <w:t xml:space="preserve">Scope 3</w:t>
            </w:r>
          </w:p>
        </w:tc>
        <w:tc>
          <w:tcPr/>
          <w:p>
            <w:pPr>
              <w:pStyle w:val="Compact"/>
              <w:jc w:val="left"/>
            </w:pPr>
            <w:r>
              <w:t xml:space="preserve">Upstream - Materials</w:t>
            </w:r>
          </w:p>
        </w:tc>
        <w:tc>
          <w:tcPr/>
          <w:p>
            <w:pPr>
              <w:pStyle w:val="Compact"/>
              <w:jc w:val="left"/>
            </w:pPr>
            <w:r>
              <w:t xml:space="preserve">5.09</w:t>
            </w:r>
          </w:p>
        </w:tc>
        <w:tc>
          <w:tcPr/>
          <w:p>
            <w:pPr>
              <w:pStyle w:val="Compact"/>
              <w:jc w:val="left"/>
            </w:pPr>
            <w:r>
              <w:t xml:space="preserve">Emissions from extraction, production, and processing of raw materials.</w:t>
            </w:r>
          </w:p>
        </w:tc>
      </w:tr>
      <w:tr>
        <w:tc>
          <w:tcPr>
            <w:gridSpan w:val="1"/>
            <w:vMerge w:val="continue"/>
          </w:tcPr>
          <w:p>
            <w:pPr/>
          </w:p>
        </w:tc>
        <w:tc>
          <w:tcPr/>
          <w:p>
            <w:pPr>
              <w:pStyle w:val="Compact"/>
              <w:jc w:val="left"/>
            </w:pPr>
            <w:r>
              <w:t xml:space="preserve">Upstream - Transport (Materials)</w:t>
            </w:r>
          </w:p>
        </w:tc>
        <w:tc>
          <w:tcPr/>
          <w:p>
            <w:pPr>
              <w:pStyle w:val="Compact"/>
              <w:jc w:val="left"/>
            </w:pPr>
            <w:r>
              <w:t xml:space="preserve">0.06</w:t>
            </w:r>
          </w:p>
        </w:tc>
        <w:tc>
          <w:tcPr/>
          <w:p>
            <w:pPr>
              <w:pStyle w:val="Compact"/>
              <w:jc w:val="left"/>
            </w:pPr>
            <w:r>
              <w:t xml:space="preserve">Transport of raw materials to the manufacturing facility.</w:t>
            </w:r>
          </w:p>
        </w:tc>
      </w:tr>
      <w:tr>
        <w:tc>
          <w:tcPr>
            <w:gridSpan w:val="1"/>
            <w:vMerge w:val="continue"/>
          </w:tcPr>
          <w:p>
            <w:pPr/>
          </w:p>
        </w:tc>
        <w:tc>
          <w:tcPr/>
          <w:p>
            <w:pPr>
              <w:pStyle w:val="Compact"/>
              <w:jc w:val="left"/>
            </w:pPr>
            <w:r>
              <w:t xml:space="preserve">Downstream - Distribution (Product)</w:t>
            </w:r>
          </w:p>
        </w:tc>
        <w:tc>
          <w:tcPr/>
          <w:p>
            <w:pPr>
              <w:pStyle w:val="Compact"/>
              <w:jc w:val="left"/>
            </w:pPr>
            <w:r>
              <w:t xml:space="preserve">0.18</w:t>
            </w:r>
          </w:p>
        </w:tc>
        <w:tc>
          <w:tcPr/>
          <w:p>
            <w:pPr>
              <w:pStyle w:val="Compact"/>
              <w:jc w:val="left"/>
            </w:pPr>
            <w:r>
              <w:t xml:space="preserve">Transport of finished product from factory to distribution center.</w:t>
            </w:r>
          </w:p>
        </w:tc>
      </w:tr>
      <w:tr>
        <w:tc>
          <w:tcPr>
            <w:gridSpan w:val="1"/>
            <w:vMerge w:val="continue"/>
          </w:tcPr>
          <w:p>
            <w:pPr/>
          </w:p>
        </w:tc>
        <w:tc>
          <w:tcPr/>
          <w:p>
            <w:pPr>
              <w:pStyle w:val="Compact"/>
              <w:jc w:val="left"/>
            </w:pPr>
            <w:r>
              <w:t xml:space="preserve">Downstream - Last-Mile Delivery</w:t>
            </w:r>
          </w:p>
        </w:tc>
        <w:tc>
          <w:tcPr/>
          <w:p>
            <w:pPr>
              <w:pStyle w:val="Compact"/>
              <w:jc w:val="left"/>
            </w:pPr>
            <w:r>
              <w:t xml:space="preserve">0.02</w:t>
            </w:r>
          </w:p>
        </w:tc>
        <w:tc>
          <w:tcPr/>
          <w:p>
            <w:pPr>
              <w:pStyle w:val="Compact"/>
              <w:jc w:val="left"/>
            </w:pPr>
            <w:r>
              <w:t xml:space="preserve">Final delivery to the end-customer.</w:t>
            </w:r>
          </w:p>
        </w:tc>
      </w:tr>
      <w:tr>
        <w:tc>
          <w:tcPr>
            <w:gridSpan w:val="1"/>
            <w:vMerge w:val="continue"/>
          </w:tcPr>
          <w:p>
            <w:pPr/>
          </w:p>
        </w:tc>
        <w:tc>
          <w:tcPr/>
          <w:p>
            <w:pPr>
              <w:pStyle w:val="Compact"/>
              <w:jc w:val="left"/>
            </w:pPr>
            <w:r>
              <w:t xml:space="preserve">Use Phase</w:t>
            </w:r>
          </w:p>
        </w:tc>
        <w:tc>
          <w:tcPr/>
          <w:p>
            <w:pPr>
              <w:pStyle w:val="Compact"/>
              <w:jc w:val="left"/>
            </w:pPr>
            <w:r>
              <w:t xml:space="preserve">10.65</w:t>
            </w:r>
          </w:p>
        </w:tc>
        <w:tc>
          <w:tcPr/>
          <w:p>
            <w:pPr>
              <w:pStyle w:val="Compact"/>
              <w:jc w:val="left"/>
            </w:pPr>
            <w:r>
              <w:t xml:space="preserve">Emissions from product energy consumption during its lifespan.</w:t>
            </w:r>
          </w:p>
        </w:tc>
      </w:tr>
      <w:tr>
        <w:tc>
          <w:tcPr>
            <w:gridSpan w:val="1"/>
            <w:vMerge w:val="continue"/>
          </w:tcPr>
          <w:p>
            <w:pPr/>
          </w:p>
        </w:tc>
        <w:tc>
          <w:tcPr/>
          <w:p>
            <w:pPr>
              <w:pStyle w:val="Compact"/>
              <w:jc w:val="left"/>
            </w:pPr>
            <w:r>
              <w:t xml:space="preserve">End-of-Life Treatment</w:t>
            </w:r>
          </w:p>
        </w:tc>
        <w:tc>
          <w:tcPr/>
          <w:p>
            <w:pPr>
              <w:pStyle w:val="Compact"/>
              <w:jc w:val="left"/>
            </w:pPr>
            <w:r>
              <w:t xml:space="preserve">-1.31</w:t>
            </w:r>
          </w:p>
        </w:tc>
        <w:tc>
          <w:tcPr/>
          <w:p>
            <w:pPr>
              <w:pStyle w:val="Compact"/>
              <w:jc w:val="left"/>
            </w:pPr>
            <w:r>
              <w:t xml:space="preserve">Net emissions/credits from disposal of non-recovered waste and avoided emissions from recycling/circular programs.</w:t>
            </w:r>
          </w:p>
        </w:tc>
      </w:tr>
      <w:tr>
        <w:tc>
          <w:tcPr>
            <w:gridSpan w:val="2"/>
          </w:tcPr>
          <w:p>
            <w:pPr>
              <w:pStyle w:val="Compact"/>
              <w:jc w:val="left"/>
            </w:pPr>
            <w:r>
              <w:rPr>
                <w:bCs/>
                <w:b/>
              </w:rPr>
              <w:t xml:space="preserve">Total Scope 3 Emissions</w:t>
            </w:r>
          </w:p>
        </w:tc>
        <w:tc>
          <w:tcPr/>
          <w:p>
            <w:pPr>
              <w:pStyle w:val="Compact"/>
              <w:jc w:val="left"/>
            </w:pPr>
            <w:r>
              <w:rPr>
                <w:bCs/>
                <w:b/>
              </w:rPr>
              <w:t xml:space="preserve">14.70</w:t>
            </w:r>
          </w:p>
        </w:tc>
        <w:tc>
          <w:tcPr/>
          <w:p>
            <w:pPr>
              <w:pStyle w:val="Compact"/>
              <w:jc w:val="left"/>
            </w:pPr>
            <w:r>
              <w:t xml:space="preserve">Sum of all indirect value chain emissions.</w:t>
            </w:r>
          </w:p>
        </w:tc>
      </w:tr>
      <w:tr>
        <w:tc>
          <w:tcPr>
            <w:gridSpan w:val="2"/>
          </w:tcPr>
          <w:p>
            <w:pPr>
              <w:pStyle w:val="Compact"/>
              <w:jc w:val="left"/>
            </w:pPr>
            <w:r>
              <w:rPr>
                <w:bCs/>
                <w:b/>
              </w:rPr>
              <w:t xml:space="preserve">Total Product Carbon Footprint (sdhidqtmme)</w:t>
            </w:r>
          </w:p>
        </w:tc>
        <w:tc>
          <w:tcPr/>
          <w:p>
            <w:pPr>
              <w:pStyle w:val="Compact"/>
              <w:jc w:val="left"/>
            </w:pPr>
            <w:r>
              <w:rPr>
                <w:bCs/>
                <w:b/>
              </w:rPr>
              <w:t xml:space="preserve">15.71</w:t>
            </w:r>
          </w:p>
        </w:tc>
        <w:tc>
          <w:tcPr/>
          <w:p>
            <w:pPr>
              <w:pStyle w:val="Compact"/>
              <w:jc w:val="left"/>
            </w:pPr>
            <w:r>
              <w:t xml:space="preserve">Sum of Scope 1, 2, and 3 emissions.</w:t>
            </w:r>
          </w:p>
        </w:tc>
      </w:tr>
    </w:tbl>
    <w:bookmarkEnd w:id="29"/>
    <w:bookmarkStart w:id="35" w:name="detailed-calculation-breakdown"/>
    <w:p>
      <w:pPr>
        <w:pStyle w:val="Heading3"/>
      </w:pPr>
      <w:r>
        <w:t xml:space="preserve">Detailed Calculation Breakdown</w:t>
      </w:r>
    </w:p>
    <w:bookmarkStart w:id="30" w:name="X358a32ff64d196000e911008d9888e39c8a4ceb"/>
    <w:p>
      <w:pPr>
        <w:pStyle w:val="Heading4"/>
      </w:pPr>
      <w:r>
        <w:t xml:space="preserve">Scope 2: Purchased Electricity (Production Phase)</w:t>
      </w:r>
    </w:p>
    <w:p>
      <w:pPr>
        <w:numPr>
          <w:ilvl w:val="0"/>
          <w:numId w:val="1006"/>
        </w:numPr>
        <w:pStyle w:val="Compact"/>
      </w:pPr>
      <w:r>
        <w:t xml:space="preserve">Energy Intensity: 8 kWh/unit [from ukklluplqw]</w:t>
      </w:r>
    </w:p>
    <w:p>
      <w:pPr>
        <w:numPr>
          <w:ilvl w:val="0"/>
          <w:numId w:val="1006"/>
        </w:numPr>
        <w:pStyle w:val="Compact"/>
      </w:pPr>
      <w:r>
        <w:t xml:space="preserve">Renewable Energy Usage: 75% [from suljligokz]</w:t>
      </w:r>
    </w:p>
    <w:p>
      <w:pPr>
        <w:numPr>
          <w:ilvl w:val="0"/>
          <w:numId w:val="1006"/>
        </w:numPr>
        <w:pStyle w:val="Compact"/>
      </w:pPr>
      <w:r>
        <w:t xml:space="preserve">Non-renewable Energy Consumption: 8 kWh/unit * (1 - 0.75) = 2 kWh/unit</w:t>
      </w:r>
    </w:p>
    <w:p>
      <w:pPr>
        <w:numPr>
          <w:ilvl w:val="0"/>
          <w:numId w:val="1006"/>
        </w:numPr>
        <w:pStyle w:val="Compact"/>
      </w:pPr>
      <w:r>
        <w:t xml:space="preserve">Grid Electricity Emission Factor (China, 2026): 0.507 kg CO2e/kWh</w:t>
      </w:r>
    </w:p>
    <w:p>
      <w:pPr>
        <w:numPr>
          <w:ilvl w:val="0"/>
          <w:numId w:val="1006"/>
        </w:numPr>
        <w:pStyle w:val="Compact"/>
      </w:pPr>
      <w:r>
        <w:rPr>
          <w:bCs/>
          <w:b/>
        </w:rPr>
        <w:t xml:space="preserve">Emissions = 2 kWh/unit * 0.507 kg CO2e/kWh = 1.014 kgCO2e</w:t>
      </w:r>
    </w:p>
    <w:bookmarkEnd w:id="30"/>
    <w:bookmarkStart w:id="31" w:name="scope-3-upstream-materials"/>
    <w:p>
      <w:pPr>
        <w:pStyle w:val="Heading4"/>
      </w:pPr>
      <w:r>
        <w:t xml:space="preserve">Scope 3: Upstream (Materials)</w:t>
      </w:r>
    </w:p>
    <w:p>
      <w:pPr>
        <w:numPr>
          <w:ilvl w:val="0"/>
          <w:numId w:val="1007"/>
        </w:numPr>
        <w:pStyle w:val="Compact"/>
      </w:pPr>
      <w:r>
        <w:rPr>
          <w:bCs/>
          <w:b/>
        </w:rPr>
        <w:t xml:space="preserve">Total Emissions from Materials = 5.09 kgCO2e</w:t>
      </w:r>
      <w:r>
        <w:t xml:space="preserve"> </w:t>
      </w:r>
      <w:r>
        <w:t xml:space="preserve">(Sum of \'Total Carbon\' from Detailed BOM Table)</w:t>
      </w:r>
    </w:p>
    <w:bookmarkEnd w:id="31"/>
    <w:bookmarkStart w:id="32" w:name="scope-3-transportation"/>
    <w:p>
      <w:pPr>
        <w:pStyle w:val="Heading4"/>
      </w:pPr>
      <w:r>
        <w:t xml:space="preserve">Scope 3: Transportation</w:t>
      </w:r>
    </w:p>
    <w:p>
      <w:pPr>
        <w:numPr>
          <w:ilvl w:val="0"/>
          <w:numId w:val="1008"/>
        </w:numPr>
        <w:pStyle w:val="Compact"/>
      </w:pPr>
      <w:r>
        <w:t xml:space="preserve">Total Product Weight for Transport: 1.17 kg = 0.00117 tonnes</w:t>
      </w:r>
    </w:p>
    <w:p>
      <w:pPr>
        <w:numPr>
          <w:ilvl w:val="0"/>
          <w:numId w:val="1008"/>
        </w:numPr>
        <w:pStyle w:val="Compact"/>
      </w:pPr>
      <w:r>
        <w:rPr>
          <w:bCs/>
          <w:b/>
        </w:rPr>
        <w:t xml:space="preserve">Upstream Transport (Materials to Factory):</w:t>
      </w:r>
    </w:p>
    <w:p>
      <w:pPr>
        <w:numPr>
          <w:ilvl w:val="1"/>
          <w:numId w:val="1009"/>
        </w:numPr>
        <w:pStyle w:val="Compact"/>
      </w:pPr>
      <w:r>
        <w:t xml:space="preserve">Assumed Distance: 500 km</w:t>
      </w:r>
    </w:p>
    <w:p>
      <w:pPr>
        <w:numPr>
          <w:ilvl w:val="1"/>
          <w:numId w:val="1009"/>
        </w:numPr>
        <w:pStyle w:val="Compact"/>
      </w:pPr>
      <w:r>
        <w:t xml:space="preserve">HGV Emission Factor: 0.105 kg CO2e/tkm</w:t>
      </w:r>
    </w:p>
    <w:p>
      <w:pPr>
        <w:numPr>
          <w:ilvl w:val="1"/>
          <w:numId w:val="1009"/>
        </w:numPr>
        <w:pStyle w:val="Compact"/>
      </w:pPr>
      <w:r>
        <w:t xml:space="preserve">Emissions = 0.00117 tonnes * 500 km * 0.105 kg CO2e/tkm = 0.061 kgCO2e</w:t>
      </w:r>
    </w:p>
    <w:p>
      <w:pPr>
        <w:numPr>
          <w:ilvl w:val="0"/>
          <w:numId w:val="1008"/>
        </w:numPr>
        <w:pStyle w:val="Compact"/>
      </w:pPr>
      <w:r>
        <w:rPr>
          <w:bCs/>
          <w:b/>
        </w:rPr>
        <w:t xml:space="preserve">Downstream Distribution (Finished Product - Factory to Distribution Center):</w:t>
      </w:r>
    </w:p>
    <w:p>
      <w:pPr>
        <w:numPr>
          <w:ilvl w:val="1"/>
          <w:numId w:val="1010"/>
        </w:numPr>
        <w:pStyle w:val="Compact"/>
      </w:pPr>
      <w:r>
        <w:t xml:space="preserve">Distance: 1500 km [from kfjslomryz]</w:t>
      </w:r>
    </w:p>
    <w:p>
      <w:pPr>
        <w:numPr>
          <w:ilvl w:val="1"/>
          <w:numId w:val="1010"/>
        </w:numPr>
        <w:pStyle w:val="Compact"/>
      </w:pPr>
      <w:r>
        <w:t xml:space="preserve">HGV Emission Factor: 0.105 kg CO2e/tkm</w:t>
      </w:r>
    </w:p>
    <w:p>
      <w:pPr>
        <w:numPr>
          <w:ilvl w:val="1"/>
          <w:numId w:val="1010"/>
        </w:numPr>
        <w:pStyle w:val="Compact"/>
      </w:pPr>
      <w:r>
        <w:t xml:space="preserve">Emissions = 0.00117 tonnes * 1500 km * 0.105 kg CO2e/tkm = 0.184 kgCO2e</w:t>
      </w:r>
    </w:p>
    <w:p>
      <w:pPr>
        <w:numPr>
          <w:ilvl w:val="0"/>
          <w:numId w:val="1008"/>
        </w:numPr>
        <w:pStyle w:val="Compact"/>
      </w:pPr>
      <w:r>
        <w:rPr>
          <w:bCs/>
          <w:b/>
        </w:rPr>
        <w:t xml:space="preserve">Downstream Last-Mile Delivery (to Customer):</w:t>
      </w:r>
    </w:p>
    <w:p>
      <w:pPr>
        <w:numPr>
          <w:ilvl w:val="1"/>
          <w:numId w:val="1011"/>
        </w:numPr>
        <w:pStyle w:val="Compact"/>
      </w:pPr>
      <w:r>
        <w:t xml:space="preserve">Assumed Distance: 100 km</w:t>
      </w:r>
    </w:p>
    <w:p>
      <w:pPr>
        <w:numPr>
          <w:ilvl w:val="1"/>
          <w:numId w:val="1011"/>
        </w:numPr>
        <w:pStyle w:val="Compact"/>
      </w:pPr>
      <w:r>
        <w:t xml:space="preserve">LCV Emission Factor: 0.20 kg CO2e/tkm</w:t>
      </w:r>
    </w:p>
    <w:p>
      <w:pPr>
        <w:numPr>
          <w:ilvl w:val="1"/>
          <w:numId w:val="1011"/>
        </w:numPr>
        <w:pStyle w:val="Compact"/>
      </w:pPr>
      <w:r>
        <w:t xml:space="preserve">Emissions = 0.00117 tonnes * 100 km * 0.20 kg CO2e/tkm = 0.023 kgCO2e</w:t>
      </w:r>
    </w:p>
    <w:p>
      <w:pPr>
        <w:numPr>
          <w:ilvl w:val="0"/>
          <w:numId w:val="1008"/>
        </w:numPr>
        <w:pStyle w:val="Compact"/>
      </w:pPr>
      <w:r>
        <w:rPr>
          <w:bCs/>
          <w:b/>
        </w:rPr>
        <w:t xml:space="preserve">Total Transport Emissions = 0.061 + 0.184 + 0.023 = 0.268 kgCO2e</w:t>
      </w:r>
    </w:p>
    <w:bookmarkEnd w:id="32"/>
    <w:bookmarkStart w:id="33" w:name="scope-3-use-phase"/>
    <w:p>
      <w:pPr>
        <w:pStyle w:val="Heading4"/>
      </w:pPr>
      <w:r>
        <w:t xml:space="preserve">Scope 3: Use Phase</w:t>
      </w:r>
    </w:p>
    <w:p>
      <w:pPr>
        <w:numPr>
          <w:ilvl w:val="0"/>
          <w:numId w:val="1012"/>
        </w:numPr>
        <w:pStyle w:val="Compact"/>
      </w:pPr>
      <w:r>
        <w:t xml:space="preserve">Product Lifespan: 7 years [from tipmsrsgez]</w:t>
      </w:r>
    </w:p>
    <w:p>
      <w:pPr>
        <w:numPr>
          <w:ilvl w:val="0"/>
          <w:numId w:val="1012"/>
        </w:numPr>
        <w:pStyle w:val="Compact"/>
      </w:pPr>
      <w:r>
        <w:t xml:space="preserve">Energy Consumption in Use: 3 kWh/year [from uzqeqnnqtj]</w:t>
      </w:r>
    </w:p>
    <w:p>
      <w:pPr>
        <w:numPr>
          <w:ilvl w:val="0"/>
          <w:numId w:val="1012"/>
        </w:numPr>
        <w:pStyle w:val="Compact"/>
      </w:pPr>
      <w:r>
        <w:t xml:space="preserve">Total Use Phase Energy: 3 kWh/year * 7 years = 21 kWh</w:t>
      </w:r>
    </w:p>
    <w:p>
      <w:pPr>
        <w:numPr>
          <w:ilvl w:val="0"/>
          <w:numId w:val="1012"/>
        </w:numPr>
        <w:pStyle w:val="Compact"/>
      </w:pPr>
      <w:r>
        <w:t xml:space="preserve">Electricity Emission Factor: 0.507 kg CO2e/kWh</w:t>
      </w:r>
    </w:p>
    <w:p>
      <w:pPr>
        <w:numPr>
          <w:ilvl w:val="0"/>
          <w:numId w:val="1012"/>
        </w:numPr>
        <w:pStyle w:val="Compact"/>
      </w:pPr>
      <w:r>
        <w:rPr>
          <w:bCs/>
          <w:b/>
        </w:rPr>
        <w:t xml:space="preserve">Emissions = 21 kWh * 0.507 kg CO2e/kWh = 10.647 kgCO2e</w:t>
      </w:r>
    </w:p>
    <w:bookmarkEnd w:id="33"/>
    <w:bookmarkStart w:id="34" w:name="scope-3-end-of-life-eol-treatment"/>
    <w:p>
      <w:pPr>
        <w:pStyle w:val="Heading4"/>
      </w:pPr>
      <w:r>
        <w:t xml:space="preserve">Scope 3: End-of-Life (EoL) Treatment</w:t>
      </w:r>
    </w:p>
    <w:p>
      <w:pPr>
        <w:numPr>
          <w:ilvl w:val="0"/>
          <w:numId w:val="1013"/>
        </w:numPr>
        <w:pStyle w:val="Compact"/>
      </w:pPr>
      <w:r>
        <w:t xml:space="preserve">Total Product Material for EoL: 1.17 kg (total BOM weight)</w:t>
      </w:r>
    </w:p>
    <w:p>
      <w:pPr>
        <w:numPr>
          <w:ilvl w:val="0"/>
          <w:numId w:val="1013"/>
        </w:numPr>
        <w:pStyle w:val="Compact"/>
      </w:pPr>
      <w:r>
        <w:t xml:space="preserve">Recyclability Percentage: 85% [from ptzvjjnfop]</w:t>
      </w:r>
    </w:p>
    <w:p>
      <w:pPr>
        <w:numPr>
          <w:ilvl w:val="0"/>
          <w:numId w:val="1013"/>
        </w:numPr>
        <w:pStyle w:val="Compact"/>
      </w:pPr>
      <w:r>
        <w:t xml:space="preserve">Circular Program Impact: additional 10% material recovery [from gqvoemkqoe]</w:t>
      </w:r>
    </w:p>
    <w:p>
      <w:pPr>
        <w:numPr>
          <w:ilvl w:val="0"/>
          <w:numId w:val="1013"/>
        </w:numPr>
        <w:pStyle w:val="Compact"/>
      </w:pPr>
      <w:r>
        <w:t xml:space="preserve">Total Effective Recovery: 85% + 10% = 95%</w:t>
      </w:r>
    </w:p>
    <w:p>
      <w:pPr>
        <w:numPr>
          <w:ilvl w:val="0"/>
          <w:numId w:val="1013"/>
        </w:numPr>
        <w:pStyle w:val="Compact"/>
      </w:pPr>
      <w:r>
        <w:t xml:space="preserve">Non-recovered Waste: 1.17 kg * (1 - 0.95) = 0.0585 kg</w:t>
      </w:r>
    </w:p>
    <w:p>
      <w:pPr>
        <w:numPr>
          <w:ilvl w:val="0"/>
          <w:numId w:val="1013"/>
        </w:numPr>
        <w:pStyle w:val="Compact"/>
      </w:pPr>
      <w:r>
        <w:t xml:space="preserve">Emissions from Non-recovered Waste (Illustrative): 0.0585 kg * 1.0 kgCO2e/kg = 0.0585 kgCO2e</w:t>
      </w:r>
    </w:p>
    <w:p>
      <w:pPr>
        <w:numPr>
          <w:ilvl w:val="0"/>
          <w:numId w:val="1013"/>
        </w:numPr>
        <w:pStyle w:val="Compact"/>
      </w:pPr>
      <w:r>
        <w:t xml:space="preserve">Recycling/Circular Program Credits (Avoided Virgin Production):</w:t>
      </w:r>
    </w:p>
    <w:p>
      <w:pPr>
        <w:numPr>
          <w:ilvl w:val="1"/>
          <w:numId w:val="1014"/>
        </w:numPr>
        <w:pStyle w:val="Compact"/>
      </w:pPr>
      <w:r>
        <w:t xml:space="preserve">Original Material Footprint (excluding packaging from BOM): 4.80 kgCO2e</w:t>
      </w:r>
    </w:p>
    <w:p>
      <w:pPr>
        <w:numPr>
          <w:ilvl w:val="1"/>
          <w:numId w:val="1014"/>
        </w:numPr>
        <w:pStyle w:val="Compact"/>
      </w:pPr>
      <w:r>
        <w:t xml:space="preserve">Effectively Recovered Portion: 4.80 kgCO2e * 0.95 = 4.56 kgCO2e</w:t>
      </w:r>
    </w:p>
    <w:p>
      <w:pPr>
        <w:numPr>
          <w:ilvl w:val="1"/>
          <w:numId w:val="1014"/>
        </w:numPr>
        <w:pStyle w:val="Compact"/>
      </w:pPr>
      <w:r>
        <w:t xml:space="preserve">Illustrative Credit (30% of recovered material\'s original footprint): 4.56 kgCO2e * 0.30 = -1.368 kgCO2e</w:t>
      </w:r>
    </w:p>
    <w:p>
      <w:pPr>
        <w:numPr>
          <w:ilvl w:val="0"/>
          <w:numId w:val="1013"/>
        </w:numPr>
        <w:pStyle w:val="Compact"/>
      </w:pPr>
      <w:r>
        <w:rPr>
          <w:bCs/>
          <w:b/>
        </w:rPr>
        <w:t xml:space="preserve">Net EoL Emissions = 0.0585 kgCO2e (disposal) - 1.368 kgCO2e (credits) = -1.3095 kgCO2e</w:t>
      </w:r>
    </w:p>
    <w:p>
      <w:r>
        <w:pict>
          <v:rect style="width:0;height:1.5pt" o:hralign="center" o:hrstd="t" o:hr="t"/>
        </w:pict>
      </w:r>
    </w:p>
    <w:bookmarkEnd w:id="34"/>
    <w:bookmarkEnd w:id="35"/>
    <w:bookmarkEnd w:id="36"/>
    <w:bookmarkStart w:id="40" w:name="review-report"/>
    <w:p>
      <w:pPr>
        <w:pStyle w:val="Heading2"/>
      </w:pPr>
      <w:r>
        <w:t xml:space="preserve">4. Review &amp; Report</w:t>
      </w:r>
    </w:p>
    <w:bookmarkStart w:id="37" w:name="hotspots-analysis"/>
    <w:p>
      <w:pPr>
        <w:pStyle w:val="Heading3"/>
      </w:pPr>
      <w:r>
        <w:t xml:space="preserve">Hotspots Analysis</w:t>
      </w:r>
    </w:p>
    <w:p>
      <w:pPr>
        <w:pStyle w:val="FirstParagraph"/>
      </w:pPr>
      <w:r>
        <w:t xml:space="preserve">The primary contributors to the carbon footprint of sdhidqtmme are:</w:t>
      </w:r>
    </w:p>
    <w:p>
      <w:pPr>
        <w:numPr>
          <w:ilvl w:val="0"/>
          <w:numId w:val="1015"/>
        </w:numPr>
        <w:pStyle w:val="Compact"/>
      </w:pPr>
      <w:r>
        <w:rPr>
          <w:bCs/>
          <w:b/>
        </w:rPr>
        <w:t xml:space="preserve">Use Phase (10.65 kgCO2e):</w:t>
      </w:r>
      <w:r>
        <w:t xml:space="preserve"> </w:t>
      </w:r>
      <w:r>
        <w:t xml:space="preserve">This stage represents the most significant hotspot, primarily driven by the product\'s energy consumption over its 7-year lifespan. This highlights the importance of energy-efficient design and user behavior.</w:t>
      </w:r>
    </w:p>
    <w:p>
      <w:pPr>
        <w:numPr>
          <w:ilvl w:val="0"/>
          <w:numId w:val="1015"/>
        </w:numPr>
        <w:pStyle w:val="Compact"/>
      </w:pPr>
      <w:r>
        <w:rPr>
          <w:bCs/>
          <w:b/>
        </w:rPr>
        <w:t xml:space="preserve">Upstream Materials (5.09 kgCO2e):</w:t>
      </w:r>
      <w:r>
        <w:t xml:space="preserve"> </w:t>
      </w:r>
      <w:r>
        <w:t xml:space="preserve">The embodied emissions in the raw materials, particularly plastics, aluminum, and electronics, are the second largest contributor. This emphasizes the need for sustainable material sourcing, lightweighting, and increasing recycled content.</w:t>
      </w:r>
    </w:p>
    <w:bookmarkEnd w:id="37"/>
    <w:bookmarkStart w:id="38" w:name="reliability-assessment"/>
    <w:p>
      <w:pPr>
        <w:pStyle w:val="Heading3"/>
      </w:pPr>
      <w:r>
        <w:t xml:space="preserve">Reliability Assessment</w:t>
      </w:r>
    </w:p>
    <w:p>
      <w:pPr>
        <w:pStyle w:val="FirstParagraph"/>
      </w:pPr>
      <w:r>
        <w:t xml:space="preserve">The reliability of this PCF analysis is contingent on the accuracy of both provided and estimated data:</w:t>
      </w:r>
    </w:p>
    <w:p>
      <w:pPr>
        <w:numPr>
          <w:ilvl w:val="0"/>
          <w:numId w:val="1016"/>
        </w:numPr>
        <w:pStyle w:val="Compact"/>
      </w:pPr>
      <w:r>
        <w:rPr>
          <w:bCs/>
          <w:b/>
        </w:rPr>
        <w:t xml:space="preserve">Strengths:</w:t>
      </w:r>
      <w:r>
        <w:t xml:space="preserve"> </w:t>
      </w:r>
      <w:r>
        <w:t xml:space="preserve">Adherence to GHG Protocol, explicit consideration of specific BOM data, and incorporation of customized energy and end-of-life scenarios. The 95% Scope 3 coverage target ensures a comprehensive assessment of value chain emissions.</w:t>
      </w:r>
    </w:p>
    <w:p>
      <w:pPr>
        <w:numPr>
          <w:ilvl w:val="0"/>
          <w:numId w:val="1016"/>
        </w:numPr>
        <w:pStyle w:val="Compact"/>
      </w:pPr>
      <w:r>
        <w:rPr>
          <w:bCs/>
          <w:b/>
        </w:rPr>
        <w:t xml:space="preserve">Limitations:</w:t>
      </w:r>
      <w:r>
        <w:t xml:space="preserve"> </w:t>
      </w:r>
      <w:r>
        <w:t xml:space="preserve">The analysis relies on placeholder values for certain parameters (e.g., \'Select Mode\', \'kfjslomryz\', \'Delivery Type\', \'suljligokz\', \'ukklluplqw\', \'tipmsrsgez\', \'uzqeqnnqtj\', \'ptzvjjnfop\', \'gqvoemkqoe\'). Generic emission factors were used where specific Ecoinvent/DEFRA data was not available, necessitating careful interpretation. Specificity of the "Europe Focused" supply chain for materials transport was approximated.</w:t>
      </w:r>
    </w:p>
    <w:bookmarkEnd w:id="38"/>
    <w:bookmarkStart w:id="39" w:name="recommendations-for-decarbonization"/>
    <w:p>
      <w:pPr>
        <w:pStyle w:val="Heading3"/>
      </w:pPr>
      <w:r>
        <w:t xml:space="preserve">Recommendations for Decarbonization</w:t>
      </w:r>
    </w:p>
    <w:p>
      <w:pPr>
        <w:numPr>
          <w:ilvl w:val="0"/>
          <w:numId w:val="1017"/>
        </w:numPr>
        <w:pStyle w:val="Compact"/>
      </w:pPr>
      <w:r>
        <w:rPr>
          <w:bCs/>
          <w:b/>
        </w:rPr>
        <w:t xml:space="preserve">Optimize Use Phase Energy Efficiency:</w:t>
      </w:r>
      <w:r>
        <w:t xml:space="preserve"> </w:t>
      </w:r>
      <w:r>
        <w:t xml:space="preserve">Focus R&amp;D on significantly reducing the product\'s energy consumption during its operational lifespan to address the largest emissions hotspot.</w:t>
      </w:r>
    </w:p>
    <w:p>
      <w:pPr>
        <w:numPr>
          <w:ilvl w:val="0"/>
          <w:numId w:val="1017"/>
        </w:numPr>
        <w:pStyle w:val="Compact"/>
      </w:pPr>
      <w:r>
        <w:rPr>
          <w:bCs/>
          <w:b/>
        </w:rPr>
        <w:t xml:space="preserve">Sustainable Material Sourcing:</w:t>
      </w:r>
      <w:r>
        <w:t xml:space="preserve"> </w:t>
      </w:r>
      <w:r>
        <w:t xml:space="preserve">Explore alternative, lower-carbon materials for the plastic casing, aluminum frame, and PCB. Prioritize suppliers with strong environmental performance and transparent supply chains.</w:t>
      </w:r>
    </w:p>
    <w:p>
      <w:pPr>
        <w:numPr>
          <w:ilvl w:val="0"/>
          <w:numId w:val="1017"/>
        </w:numPr>
        <w:pStyle w:val="Compact"/>
      </w:pPr>
      <w:r>
        <w:rPr>
          <w:bCs/>
          <w:b/>
        </w:rPr>
        <w:t xml:space="preserve">Increase Recycled Content:</w:t>
      </w:r>
      <w:r>
        <w:t xml:space="preserve"> </w:t>
      </w:r>
      <w:r>
        <w:t xml:space="preserve">Maximize the incorporation of post-consumer recycled (PCR) materials, especially for plastics and metals, to reduce upstream impacts.</w:t>
      </w:r>
    </w:p>
    <w:p>
      <w:pPr>
        <w:numPr>
          <w:ilvl w:val="0"/>
          <w:numId w:val="1017"/>
        </w:numPr>
        <w:pStyle w:val="Compact"/>
      </w:pPr>
      <w:r>
        <w:rPr>
          <w:bCs/>
          <w:b/>
        </w:rPr>
        <w:t xml:space="preserve">Logistics Optimization:</w:t>
      </w:r>
      <w:r>
        <w:t xml:space="preserve"> </w:t>
      </w:r>
      <w:r>
        <w:t xml:space="preserve">Investigate opportunities to optimize transport modes and routes, potentially shifting to lower-emission options where feasible, especially for long-haul distances in the European supply chain.</w:t>
      </w:r>
    </w:p>
    <w:p>
      <w:pPr>
        <w:numPr>
          <w:ilvl w:val="0"/>
          <w:numId w:val="1017"/>
        </w:numPr>
        <w:pStyle w:val="Compact"/>
      </w:pPr>
      <w:r>
        <w:rPr>
          <w:bCs/>
          <w:b/>
        </w:rPr>
        <w:t xml:space="preserve">Enhance Circularity:</w:t>
      </w:r>
      <w:r>
        <w:t xml:space="preserve"> </w:t>
      </w:r>
      <w:r>
        <w:t xml:space="preserve">Further develop and promote take-back and repair programs to extend product lifespan and ensure higher quality material recovery, moving towards a truly circular economy model.</w: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sdhidqtmme</dc:title>
  <dc:creator/>
  <dc:description>Detailed Product Carbon Footprint (PCF) analysis report for sdhidqtmme, conducted by Senior Sustainability Consultant rumhztuuju for vmsvfxgexh, adhering to GHG Protocol standards and including 2026 LSR updates.</dc:description>
  <dc:language>en</dc:language>
  <cp:keywords/>
  <dcterms:created xsi:type="dcterms:W3CDTF">2026-07-15T02:55:18Z</dcterms:created>
  <dcterms:modified xsi:type="dcterms:W3CDTF">2026-07-15T02:55:18Z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