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sdelefsgsi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sdelefsgsi</w:t>
      </w:r>
    </w:p>
    <w:p>
      <w:pPr>
        <w:pStyle w:val="BodyText"/>
      </w:pPr>
      <w:r>
        <w:t xml:space="preserve">Protocol Data (Accounting Standard): GHG Protocol</w:t>
      </w:r>
    </w:p>
    <w:p>
      <w:pPr>
        <w:pStyle w:val="BodyText"/>
      </w:pPr>
      <w:r>
        <w:t xml:space="preserve">Company Name: dvwdpoirms</w:t>
      </w:r>
    </w:p>
    <w:p>
      <w:pPr>
        <w:pStyle w:val="BodyText"/>
      </w:pPr>
      <w:r>
        <w:t xml:space="preserve">Senior Sustainability Consultant: odgsxutzmy</w:t>
      </w:r>
    </w:p>
    <w:p>
      <w:pPr>
        <w:pStyle w:val="BodyText"/>
      </w:pPr>
      <w:r>
        <w:t xml:space="preserve">Disclaimer: This report is generated based on available data and industry standards, using illustrative emission factors and assumptions where specific primary data was not provided. The accuracy of the results is dependent on the completeness and reliability of the input data.</w:t>
      </w:r>
    </w:p>
    <w:bookmarkEnd w:id="20"/>
    <w:bookmarkStart w:id="45" w:name="X2d9bc3401b5e78354a69c9e1b856de47116cab2"/>
    <w:p>
      <w:pPr>
        <w:pStyle w:val="Heading1"/>
      </w:pPr>
      <w:r>
        <w:t xml:space="preserve">Product Carbon Footprint Analysis Report for sdelefsgsi</w:t>
      </w:r>
    </w:p>
    <w:p>
      <w:pPr>
        <w:pStyle w:val="FirstParagraph"/>
      </w:pPr>
      <w:r>
        <w:t xml:space="preserve">Generated Date: May 23,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sdelefsgsi</w:t>
      </w:r>
      <w:r>
        <w:t xml:space="preserve">, manufactured by</w:t>
      </w:r>
      <w:r>
        <w:t xml:space="preserve"> </w:t>
      </w:r>
      <w:r>
        <w:rPr>
          <w:bCs/>
          <w:b/>
        </w:rPr>
        <w:t xml:space="preserve">dvwdpoirms</w:t>
      </w:r>
      <w:r>
        <w:t xml:space="preserve">. The analysis was conducted by</w:t>
      </w:r>
      <w:r>
        <w:t xml:space="preserve"> </w:t>
      </w:r>
      <w:r>
        <w:rPr>
          <w:bCs/>
          <w:b/>
        </w:rPr>
        <w:t xml:space="preserve">odgsxutzmy</w:t>
      </w:r>
      <w:r>
        <w:t xml:space="preserve">, a Senior Sustainability Consultant specializing in the GHG Protocol, to quantify the greenhouse gas (GHG) emissions associated with the product\'s lifecycle. The methodology strictly adheres to the GHG Protocol standards, including the latest 2026 updates for Scope 3 reporting and the Land Sector and Removals (LSR) Standard. The total estimated cradle-to-grave carbon footprint for one unit of sdelefsgsi is **18.03 kgCO2e**, with the use phase being the most significant contributor.</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first step in this PCF analysis involves clearly defining the scope, including the functional unit, system boundaries, geographic scope, and allocation principles, in accordance with the GHG Protocol.</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 of sdelefsgsi</w:t>
      </w:r>
      <w:r>
        <w:t xml:space="preserve">.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system boundary for this PCF is defined as</w:t>
      </w:r>
      <w:r>
        <w:t xml:space="preserve"> </w:t>
      </w:r>
      <w:r>
        <w:rPr>
          <w:bCs/>
          <w:b/>
        </w:rPr>
        <w:t xml:space="preserve">"factory_gate"</w:t>
      </w:r>
      <w:r>
        <w:t xml:space="preserve"> </w:t>
      </w:r>
      <w:r>
        <w:t xml:space="preserve">for the manufacturing process, extending to cover the entire lifecycle including upstream material acquisition, transport, manufacturing, use phase, and end-of-life treatment (cradle-to-grave).</w:t>
      </w:r>
    </w:p>
    <w:p>
      <w:pPr>
        <w:numPr>
          <w:ilvl w:val="0"/>
          <w:numId w:val="1001"/>
        </w:numPr>
        <w:pStyle w:val="Compact"/>
      </w:pPr>
      <w:r>
        <w:rPr>
          <w:bCs/>
          <w:b/>
        </w:rPr>
        <w:t xml:space="preserve">Geographic Scope:</w:t>
      </w:r>
      <w:r>
        <w:t xml:space="preserve"> </w:t>
      </w:r>
      <w:r>
        <w:t xml:space="preserve">The geographic scope focuses on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The use and end-of-life phases are considered to primarily occur in Europe.</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w:t>
      </w:r>
      <w:r>
        <w:t xml:space="preserve">Product Life Cycle Accounting and Reporting Standard.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Mass-based allocation principles are applied for co-products or by-products where relevant. For this product, direct co-products are not identified, so emissions are fully allocated to the functional unit.</w:t>
      </w:r>
    </w:p>
    <w:p>
      <w:r>
        <w:pict>
          <v:rect style="width:0;height:1.5pt" o:hralign="center" o:hrstd="t" o:hr="t"/>
        </w:pict>
      </w:r>
    </w:p>
    <w:bookmarkEnd w:id="22"/>
    <w:bookmarkStart w:id="28" w:name="mapping-the-lifecycle-3.-collecting-data"/>
    <w:p>
      <w:pPr>
        <w:pStyle w:val="Heading2"/>
      </w:pPr>
      <w:r>
        <w:t xml:space="preserve">2. Mapping the Lifecycle &amp; 3. Collecting Data</w:t>
      </w:r>
    </w:p>
    <w:p>
      <w:pPr>
        <w:pStyle w:val="FirstParagraph"/>
      </w:pPr>
      <w:r>
        <w:t xml:space="preserve">This section details the lifecycle stages and the data collected (both primary, where specified, and secondary for emission factors) for a comprehensive Life Cycle Inventory (LCI). Illustrative values are used for quantitative parameters where only placeholders were provided in the prompt.</w:t>
      </w:r>
    </w:p>
    <w:bookmarkStart w:id="23" w:name="detailed-bill-of-materials-bom"/>
    <w:p>
      <w:pPr>
        <w:pStyle w:val="Heading3"/>
      </w:pPr>
      <w:r>
        <w:t xml:space="preserve">Detailed Bill of Materials (BOM)</w:t>
      </w:r>
    </w:p>
    <w:p>
      <w:pPr>
        <w:pStyle w:val="FirstParagraph"/>
      </w:pPr>
      <w:r>
        <w:t xml:space="preserve">The following Bill of Materials (BOM) was used to calculate the material impact for sdelefsgsi. The provided emission factors for each material are utilized for high-accuracy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w:t>
            </w:r>
          </w:p>
        </w:tc>
        <w:tc>
          <w:tcPr/>
          <w:p>
            <w:pPr>
              <w:pStyle w:val="Compact"/>
              <w:jc w:val="left"/>
            </w:pPr>
            <w:r>
              <w:t xml:space="preserve">Raw Material</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1.8</w:t>
            </w:r>
          </w:p>
        </w:tc>
        <w:tc>
          <w:tcPr/>
          <w:p>
            <w:pPr>
              <w:pStyle w:val="Compact"/>
              <w:jc w:val="left"/>
            </w:pPr>
            <w:r>
              <w:t xml:space="preserve">0.90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Polymer Production</w:t>
            </w:r>
          </w:p>
        </w:tc>
        <w:tc>
          <w:tcPr/>
          <w:p>
            <w:pPr>
              <w:pStyle w:val="Compact"/>
              <w:jc w:val="left"/>
            </w:pPr>
            <w:r>
              <w:t xml:space="preserve">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3.1</w:t>
            </w:r>
          </w:p>
        </w:tc>
        <w:tc>
          <w:tcPr/>
          <w:p>
            <w:pPr>
              <w:pStyle w:val="Compact"/>
              <w:jc w:val="left"/>
            </w:pPr>
            <w:r>
              <w:t xml:space="preserve">0.62</w:t>
            </w:r>
          </w:p>
        </w:tc>
      </w:tr>
      <w:tr>
        <w:tc>
          <w:tcPr/>
          <w:p>
            <w:pPr>
              <w:pStyle w:val="Compact"/>
              <w:jc w:val="left"/>
            </w:pPr>
            <w:r>
              <w:t xml:space="preserve">M003</w:t>
            </w:r>
          </w:p>
        </w:tc>
        <w:tc>
          <w:tcPr/>
          <w:p>
            <w:pPr>
              <w:pStyle w:val="Compact"/>
              <w:jc w:val="left"/>
            </w:pPr>
            <w:r>
              <w:t xml:space="preserve">Electronics (PCB)</w:t>
            </w:r>
          </w:p>
        </w:tc>
        <w:tc>
          <w:tcPr/>
          <w:p>
            <w:pPr>
              <w:pStyle w:val="Compact"/>
              <w:jc w:val="left"/>
            </w:pPr>
            <w:r>
              <w:t xml:space="preserve">Component Production</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 Production</w:t>
            </w:r>
          </w:p>
        </w:tc>
        <w:tc>
          <w:tcPr/>
          <w:p>
            <w:pPr>
              <w:pStyle w:val="Compact"/>
              <w:jc w:val="left"/>
            </w:pPr>
            <w:r>
              <w:t xml:space="preserve">Packaging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7"/>
          </w:tcPr>
          <w:p>
            <w:pPr>
              <w:pStyle w:val="Compact"/>
              <w:jc w:val="right"/>
            </w:pPr>
            <w:r>
              <w:t xml:space="preserve">Total Material Emissions:</w:t>
            </w:r>
          </w:p>
        </w:tc>
        <w:tc>
          <w:tcPr/>
          <w:p>
            <w:pPr>
              <w:pStyle w:val="Compact"/>
              <w:jc w:val="left"/>
            </w:pPr>
            <w:r>
              <w:t xml:space="preserve">2.64</w:t>
            </w:r>
          </w:p>
        </w:tc>
      </w:tr>
    </w:tbl>
    <w:p>
      <w:pPr>
        <w:pStyle w:val="BodyText"/>
      </w:pPr>
      <w:r>
        <w:rPr>
          <w:iCs/>
          <w:i/>
        </w:rPr>
        <w:t xml:space="preserve">Note: The "Emission Factor" and "Total Carbon" values in the table above reflect the direct input provided for the BOM placeholder "ryudjiwh", with illustrative emission factors used for steel, ABS plastic, and cardboard based on industry averages (e.g., steel: ~1.8 kgCO2e/kg, ABS plastic: ~3.1 kgCO2e/kg, cardboard: ~1.2 kgCO2e/kg) and the explicit factor provided for the PCB unit.</w:t>
      </w:r>
    </w:p>
    <w:bookmarkEnd w:id="23"/>
    <w:bookmarkStart w:id="24" w:name="energy-inputs-manufacturing-phase"/>
    <w:p>
      <w:pPr>
        <w:pStyle w:val="Heading3"/>
      </w:pPr>
      <w:r>
        <w:t xml:space="preserve">Energy Inputs (Manufacturing Phase)</w:t>
      </w:r>
    </w:p>
    <w:p>
      <w:pPr>
        <w:numPr>
          <w:ilvl w:val="0"/>
          <w:numId w:val="1002"/>
        </w:numPr>
        <w:pStyle w:val="Compact"/>
      </w:pPr>
      <w:r>
        <w:rPr>
          <w:bCs/>
          <w:b/>
        </w:rPr>
        <w:t xml:space="preserve">Energy Intensity (kWh/unit):</w:t>
      </w:r>
      <w:r>
        <w:t xml:space="preserve"> </w:t>
      </w:r>
      <w:r>
        <w:t xml:space="preserve">iqyqmynogn (assumed 5 kWh/unit for the production process in China).</w:t>
      </w:r>
    </w:p>
    <w:p>
      <w:pPr>
        <w:numPr>
          <w:ilvl w:val="0"/>
          <w:numId w:val="1002"/>
        </w:numPr>
        <w:pStyle w:val="Compact"/>
      </w:pPr>
      <w:r>
        <w:rPr>
          <w:bCs/>
          <w:b/>
        </w:rPr>
        <w:t xml:space="preserve">Renewable Energy Usage:</w:t>
      </w:r>
      <w:r>
        <w:t xml:space="preserve"> </w:t>
      </w:r>
      <w:r>
        <w:t xml:space="preserve">wrvfxfxihn (assumed 30% renewable energy for the manufacturing site).</w:t>
      </w:r>
    </w:p>
    <w:p>
      <w:pPr>
        <w:numPr>
          <w:ilvl w:val="0"/>
          <w:numId w:val="1002"/>
        </w:numPr>
        <w:pStyle w:val="Compact"/>
      </w:pPr>
      <w:r>
        <w:rPr>
          <w:bCs/>
          <w:b/>
        </w:rPr>
        <w:t xml:space="preserve">Non-renewable electricity consumption:</w:t>
      </w:r>
      <w:r>
        <w:t xml:space="preserve"> </w:t>
      </w:r>
      <w:r>
        <w:t xml:space="preserve">3.5 kWh/unit (70% of 5 kWh).</w:t>
      </w:r>
    </w:p>
    <w:p>
      <w:pPr>
        <w:numPr>
          <w:ilvl w:val="0"/>
          <w:numId w:val="1002"/>
        </w:numPr>
        <w:pStyle w:val="Compact"/>
      </w:pPr>
      <w:r>
        <w:rPr>
          <w:bCs/>
          <w:b/>
        </w:rPr>
        <w:t xml:space="preserve">Electricity Grid Emission Factor (China):</w:t>
      </w:r>
      <w:r>
        <w:t xml:space="preserve"> </w:t>
      </w:r>
      <w:r>
        <w:t xml:space="preserve">0.6205 kgCO2e/kWh (2023 National Average).</w:t>
      </w:r>
    </w:p>
    <w:bookmarkEnd w:id="24"/>
    <w:bookmarkStart w:id="25" w:name="logistics-data-transport"/>
    <w:p>
      <w:pPr>
        <w:pStyle w:val="Heading3"/>
      </w:pPr>
      <w:r>
        <w:t xml:space="preserve">Logistics Data (Transport)</w:t>
      </w:r>
    </w:p>
    <w:p>
      <w:pPr>
        <w:pStyle w:val="FirstParagraph"/>
      </w:pPr>
      <w:r>
        <w:t xml:space="preserve">The following logistics data were incorporated into the supply chain analysis for both upstream and downstream transportation.</w:t>
      </w:r>
    </w:p>
    <w:p>
      <w:pPr>
        <w:numPr>
          <w:ilvl w:val="0"/>
          <w:numId w:val="1003"/>
        </w:numPr>
        <w:pStyle w:val="Compact"/>
      </w:pPr>
      <w:r>
        <w:rPr>
          <w:bCs/>
          <w:b/>
        </w:rPr>
        <w:t xml:space="preserve">Total Product Weight (for transport, including packaging):</w:t>
      </w:r>
      <w:r>
        <w:t xml:space="preserve"> </w:t>
      </w:r>
      <w:r>
        <w:t xml:space="preserve">Approximately 0.9 kg/unit.</w:t>
      </w:r>
    </w:p>
    <w:p>
      <w:pPr>
        <w:numPr>
          <w:ilvl w:val="0"/>
          <w:numId w:val="1003"/>
        </w:numPr>
        <w:pStyle w:val="Compact"/>
      </w:pPr>
      <w:r>
        <w:rPr>
          <w:bCs/>
          <w:b/>
        </w:rPr>
        <w:t xml:space="preserve">Upstream Transport (Raw Materials to China Factory):</w:t>
      </w:r>
    </w:p>
    <w:p>
      <w:pPr>
        <w:numPr>
          <w:ilvl w:val="1"/>
          <w:numId w:val="1004"/>
        </w:numPr>
        <w:pStyle w:val="Compact"/>
      </w:pPr>
      <w:r>
        <w:rPr>
          <w:bCs/>
          <w:b/>
        </w:rPr>
        <w:t xml:space="preserve">Transport Mode:</w:t>
      </w:r>
      <w:r>
        <w:t xml:space="preserve"> </w:t>
      </w:r>
      <w:r>
        <w:t xml:space="preserve">Ocean Freight (primary mode from Europe to China) &amp; Heavy Goods Vehicle (HGV) Truck (local collection/delivery).</w:t>
      </w:r>
    </w:p>
    <w:p>
      <w:pPr>
        <w:numPr>
          <w:ilvl w:val="1"/>
          <w:numId w:val="1004"/>
        </w:numPr>
        <w:pStyle w:val="Compact"/>
      </w:pPr>
      <w:r>
        <w:rPr>
          <w:bCs/>
          <w:b/>
        </w:rPr>
        <w:t xml:space="preserve">Transport Distance:</w:t>
      </w:r>
      <w:r>
        <w:t xml:space="preserve"> </w:t>
      </w:r>
      <w:r>
        <w:t xml:space="preserve">swnvtegexs (Assumed: 500 km by truck from European suppliers to port, 15,000 km by ocean freight from Europe to China, 500 km by truck from China port to factory).</w:t>
      </w:r>
    </w:p>
    <w:p>
      <w:pPr>
        <w:numPr>
          <w:ilvl w:val="1"/>
          <w:numId w:val="1004"/>
        </w:numPr>
        <w:pStyle w:val="Compact"/>
      </w:pPr>
      <w:r>
        <w:rPr>
          <w:bCs/>
          <w:b/>
        </w:rPr>
        <w:t xml:space="preserve">Emission Factor (Ocean Freight):</w:t>
      </w:r>
      <w:r>
        <w:t xml:space="preserve"> </w:t>
      </w:r>
      <w:r>
        <w:t xml:space="preserve">0.016 kgCO2e/tkm (16 gCO2e/tkm).</w:t>
      </w:r>
    </w:p>
    <w:p>
      <w:pPr>
        <w:numPr>
          <w:ilvl w:val="1"/>
          <w:numId w:val="1004"/>
        </w:numPr>
        <w:pStyle w:val="Compact"/>
      </w:pPr>
      <w:r>
        <w:rPr>
          <w:bCs/>
          <w:b/>
        </w:rPr>
        <w:t xml:space="preserve">Emission Factor (HGV Truck - Long Haul):</w:t>
      </w:r>
      <w:r>
        <w:t xml:space="preserve"> </w:t>
      </w:r>
      <w:r>
        <w:t xml:space="preserve">0.07 kgCO2e/tkm (70 gCO2e/tkm).</w:t>
      </w:r>
    </w:p>
    <w:p>
      <w:pPr>
        <w:numPr>
          <w:ilvl w:val="0"/>
          <w:numId w:val="1003"/>
        </w:numPr>
        <w:pStyle w:val="Compact"/>
      </w:pPr>
      <w:r>
        <w:rPr>
          <w:bCs/>
          <w:b/>
        </w:rPr>
        <w:t xml:space="preserve">Downstream Transport (China Factory to European Market):</w:t>
      </w:r>
    </w:p>
    <w:p>
      <w:pPr>
        <w:numPr>
          <w:ilvl w:val="1"/>
          <w:numId w:val="1005"/>
        </w:numPr>
        <w:pStyle w:val="Compact"/>
      </w:pPr>
      <w:r>
        <w:rPr>
          <w:bCs/>
          <w:b/>
        </w:rPr>
        <w:t xml:space="preserve">Transport Mode:</w:t>
      </w:r>
      <w:r>
        <w:t xml:space="preserve"> </w:t>
      </w:r>
      <w:r>
        <w:t xml:space="preserve">Ocean Freight (China to Europe) &amp; HGV Truck (European distribution) &amp; Light Commercial Van (LCV) for Last-Mile.</w:t>
      </w:r>
    </w:p>
    <w:p>
      <w:pPr>
        <w:numPr>
          <w:ilvl w:val="1"/>
          <w:numId w:val="1005"/>
        </w:numPr>
        <w:pStyle w:val="Compact"/>
      </w:pPr>
      <w:r>
        <w:rPr>
          <w:bCs/>
          <w:b/>
        </w:rPr>
        <w:t xml:space="preserve">Transport Distance:</w:t>
      </w:r>
      <w:r>
        <w:t xml:space="preserve"> </w:t>
      </w:r>
      <w:r>
        <w:t xml:space="preserve">swnvtegexs (Assumed: 500 km by truck from China factory to port, 15,000 km by ocean freight from China to Europe, 1,000 km by HGV truck from European port to distribution, 100 km by LCV for last-mile delivery).</w:t>
      </w:r>
    </w:p>
    <w:p>
      <w:pPr>
        <w:numPr>
          <w:ilvl w:val="1"/>
          <w:numId w:val="1005"/>
        </w:numPr>
        <w:pStyle w:val="Compact"/>
      </w:pPr>
      <w:r>
        <w:rPr>
          <w:bCs/>
          <w:b/>
        </w:rPr>
        <w:t xml:space="preserve">Last-Mile Delivery Channel:</w:t>
      </w:r>
      <w:r>
        <w:t xml:space="preserve"> </w:t>
      </w:r>
      <w:r>
        <w:t xml:space="preserve">Delivery Type (Assumed Light Commercial Van - LCV).</w:t>
      </w:r>
    </w:p>
    <w:p>
      <w:pPr>
        <w:numPr>
          <w:ilvl w:val="1"/>
          <w:numId w:val="1005"/>
        </w:numPr>
        <w:pStyle w:val="Compact"/>
      </w:pPr>
      <w:r>
        <w:rPr>
          <w:bCs/>
          <w:b/>
        </w:rPr>
        <w:t xml:space="preserve">Emission Factor (LCV - Last Mile):</w:t>
      </w:r>
      <w:r>
        <w:t xml:space="preserve"> </w:t>
      </w:r>
      <w:r>
        <w:t xml:space="preserve">0.2 kgCO2e/tkm (illustrative for smaller, urban delivery vehicles).</w:t>
      </w:r>
    </w:p>
    <w:bookmarkEnd w:id="25"/>
    <w:bookmarkStart w:id="26" w:name="use-phase-data"/>
    <w:p>
      <w:pPr>
        <w:pStyle w:val="Heading3"/>
      </w:pPr>
      <w:r>
        <w:t xml:space="preserve">Use Phase Data</w:t>
      </w:r>
    </w:p>
    <w:p>
      <w:pPr>
        <w:pStyle w:val="FirstParagraph"/>
      </w:pPr>
      <w:r>
        <w:t xml:space="preserve">The durability and consumption data for the use phase are as follows:</w:t>
      </w:r>
    </w:p>
    <w:p>
      <w:pPr>
        <w:numPr>
          <w:ilvl w:val="0"/>
          <w:numId w:val="1006"/>
        </w:numPr>
        <w:pStyle w:val="Compact"/>
      </w:pPr>
      <w:r>
        <w:rPr>
          <w:bCs/>
          <w:b/>
        </w:rPr>
        <w:t xml:space="preserve">Product Lifespan:</w:t>
      </w:r>
      <w:r>
        <w:t xml:space="preserve"> </w:t>
      </w:r>
      <w:r>
        <w:t xml:space="preserve">iptrkqhmsx (Assumed 5 years).</w:t>
      </w:r>
    </w:p>
    <w:p>
      <w:pPr>
        <w:numPr>
          <w:ilvl w:val="0"/>
          <w:numId w:val="1006"/>
        </w:numPr>
        <w:pStyle w:val="Compact"/>
      </w:pPr>
      <w:r>
        <w:rPr>
          <w:bCs/>
          <w:b/>
        </w:rPr>
        <w:t xml:space="preserve">Energy Consumption in Use:</w:t>
      </w:r>
      <w:r>
        <w:t xml:space="preserve"> </w:t>
      </w:r>
      <w:r>
        <w:t xml:space="preserve">vpxefvmrut (Assumed 10 kWh/year).</w:t>
      </w:r>
    </w:p>
    <w:p>
      <w:pPr>
        <w:numPr>
          <w:ilvl w:val="0"/>
          <w:numId w:val="1006"/>
        </w:numPr>
        <w:pStyle w:val="Compact"/>
      </w:pPr>
      <w:r>
        <w:rPr>
          <w:bCs/>
          <w:b/>
        </w:rPr>
        <w:t xml:space="preserve">Electricity Grid Emission Factor (Europe Average for use phase):</w:t>
      </w:r>
      <w:r>
        <w:t xml:space="preserve"> </w:t>
      </w:r>
      <w:r>
        <w:t xml:space="preserve">Assumed 0.25 kgCO2e/kWh (illustrative for European grid mix).</w:t>
      </w:r>
    </w:p>
    <w:bookmarkEnd w:id="26"/>
    <w:bookmarkStart w:id="27" w:name="end-of-life-eol-scenarios"/>
    <w:p>
      <w:pPr>
        <w:pStyle w:val="Heading3"/>
      </w:pPr>
      <w:r>
        <w:t xml:space="preserve">End-of-Life (EoL) Scenarios</w:t>
      </w:r>
    </w:p>
    <w:p>
      <w:pPr>
        <w:pStyle w:val="FirstParagraph"/>
      </w:pPr>
      <w:r>
        <w:t xml:space="preserve">The end-of-life scenarios reflect circular economy impacts:</w:t>
      </w:r>
    </w:p>
    <w:p>
      <w:pPr>
        <w:numPr>
          <w:ilvl w:val="0"/>
          <w:numId w:val="1007"/>
        </w:numPr>
        <w:pStyle w:val="Compact"/>
      </w:pPr>
      <w:r>
        <w:rPr>
          <w:bCs/>
          <w:b/>
        </w:rPr>
        <w:t xml:space="preserve">Recyclability Percentage:</w:t>
      </w:r>
      <w:r>
        <w:t xml:space="preserve"> </w:t>
      </w:r>
      <w:r>
        <w:t xml:space="preserve">nhfduokkzh (Assumed 70% of product material weight is recyclable).</w:t>
      </w:r>
    </w:p>
    <w:p>
      <w:pPr>
        <w:numPr>
          <w:ilvl w:val="0"/>
          <w:numId w:val="1007"/>
        </w:numPr>
        <w:pStyle w:val="Compact"/>
      </w:pPr>
      <w:r>
        <w:rPr>
          <w:bCs/>
          <w:b/>
        </w:rPr>
        <w:t xml:space="preserve">Circular/Take-back Programs:</w:t>
      </w:r>
      <w:r>
        <w:t xml:space="preserve"> </w:t>
      </w:r>
      <w:r>
        <w:t xml:space="preserve">jkzqiuzqvv (A product take-back program established in key European markets, resulting in 10% of returned units being refurbished. This reduces the number of units entering the EoL stream).</w:t>
      </w:r>
    </w:p>
    <w:p>
      <w:pPr>
        <w:numPr>
          <w:ilvl w:val="0"/>
          <w:numId w:val="1007"/>
        </w:numPr>
        <w:pStyle w:val="Compact"/>
      </w:pPr>
      <w:r>
        <w:rPr>
          <w:bCs/>
          <w:b/>
        </w:rPr>
        <w:t xml:space="preserve">Emission Factor (Recycling Process Burden):</w:t>
      </w:r>
      <w:r>
        <w:t xml:space="preserve"> </w:t>
      </w:r>
      <w:r>
        <w:t xml:space="preserve">0.02 kgCO2e/kg (illustrative, for paper recycling).</w:t>
      </w:r>
    </w:p>
    <w:p>
      <w:pPr>
        <w:numPr>
          <w:ilvl w:val="0"/>
          <w:numId w:val="1007"/>
        </w:numPr>
        <w:pStyle w:val="Compact"/>
      </w:pPr>
      <w:r>
        <w:rPr>
          <w:bCs/>
          <w:b/>
        </w:rPr>
        <w:t xml:space="preserve">Emission Factor (Landfill/Incineration Burden):</w:t>
      </w:r>
      <w:r>
        <w:t xml:space="preserve"> </w:t>
      </w:r>
      <w:r>
        <w:t xml:space="preserve">0.5 kgCO2e/kg (illustrative, for general waste).</w:t>
      </w:r>
    </w:p>
    <w:p>
      <w:r>
        <w:pict>
          <v:rect style="width:0;height:1.5pt" o:hralign="center" o:hrstd="t" o:hr="t"/>
        </w:pict>
      </w:r>
    </w:p>
    <w:bookmarkEnd w:id="27"/>
    <w:bookmarkEnd w:id="28"/>
    <w:bookmarkStart w:id="40" w:name="calculating-emissions"/>
    <w:p>
      <w:pPr>
        <w:pStyle w:val="Heading2"/>
      </w:pPr>
      <w:r>
        <w:t xml:space="preserve">4. Calculating Emissions</w:t>
      </w:r>
    </w:p>
    <w:p>
      <w:pPr>
        <w:pStyle w:val="FirstParagraph"/>
      </w:pPr>
      <w:r>
        <w:t xml:space="preserve">Emissions are calculated per functional unit (1.0 unit of sdelefsgsi) and categorized according to the GHG Protocol\'s Scope 1, 2, and 3 classifications. Industry-standard emission factors are applied, using representative values where specific database lookups were not feasible in this context.</w:t>
      </w:r>
    </w:p>
    <w:bookmarkStart w:id="29" w:name="Xa9fba48b63db66991a44249ae45f219c9d61f8e"/>
    <w:p>
      <w:pPr>
        <w:pStyle w:val="Heading3"/>
      </w:pPr>
      <w:r>
        <w:t xml:space="preserve">Summary of Emission Factors Used (Illustrative/Derived)</w:t>
      </w:r>
    </w:p>
    <w:p>
      <w:pPr>
        <w:numPr>
          <w:ilvl w:val="0"/>
          <w:numId w:val="1008"/>
        </w:numPr>
        <w:pStyle w:val="Compact"/>
      </w:pPr>
      <w:r>
        <w:t xml:space="preserve">Steel production: 1.8 kgCO2e/kg</w:t>
      </w:r>
    </w:p>
    <w:p>
      <w:pPr>
        <w:numPr>
          <w:ilvl w:val="0"/>
          <w:numId w:val="1008"/>
        </w:numPr>
        <w:pStyle w:val="Compact"/>
      </w:pPr>
      <w:r>
        <w:t xml:space="preserve">ABS plastic production: 3.1 kgCO2e/kg</w:t>
      </w:r>
    </w:p>
    <w:p>
      <w:pPr>
        <w:numPr>
          <w:ilvl w:val="0"/>
          <w:numId w:val="1008"/>
        </w:numPr>
        <w:pStyle w:val="Compact"/>
      </w:pPr>
      <w:r>
        <w:t xml:space="preserve">PCB production: 10.0 kgCO2e/unit (as provided in BOM)</w:t>
      </w:r>
    </w:p>
    <w:p>
      <w:pPr>
        <w:numPr>
          <w:ilvl w:val="0"/>
          <w:numId w:val="1008"/>
        </w:numPr>
        <w:pStyle w:val="Compact"/>
      </w:pPr>
      <w:r>
        <w:t xml:space="preserve">Cardboard production: 1.2 kgCO2e/kg</w:t>
      </w:r>
    </w:p>
    <w:p>
      <w:pPr>
        <w:numPr>
          <w:ilvl w:val="0"/>
          <w:numId w:val="1008"/>
        </w:numPr>
        <w:pStyle w:val="Compact"/>
      </w:pPr>
      <w:r>
        <w:t xml:space="preserve">Electricity (China grid mix): 0.6205 kgCO2e/kWh</w:t>
      </w:r>
    </w:p>
    <w:p>
      <w:pPr>
        <w:numPr>
          <w:ilvl w:val="0"/>
          <w:numId w:val="1008"/>
        </w:numPr>
        <w:pStyle w:val="Compact"/>
      </w:pPr>
      <w:r>
        <w:t xml:space="preserve">Electricity (Europe grid mix for use phase): 0.25 kgCO2e/kWh</w:t>
      </w:r>
    </w:p>
    <w:p>
      <w:pPr>
        <w:numPr>
          <w:ilvl w:val="0"/>
          <w:numId w:val="1008"/>
        </w:numPr>
        <w:pStyle w:val="Compact"/>
      </w:pPr>
      <w:r>
        <w:t xml:space="preserve">Ocean freight: 0.016 kgCO2e/tkm</w:t>
      </w:r>
    </w:p>
    <w:p>
      <w:pPr>
        <w:numPr>
          <w:ilvl w:val="0"/>
          <w:numId w:val="1008"/>
        </w:numPr>
        <w:pStyle w:val="Compact"/>
      </w:pPr>
      <w:r>
        <w:t xml:space="preserve">Heavy Goods Vehicle (HGV) Truck: 0.07 kgCO2e/tkm</w:t>
      </w:r>
    </w:p>
    <w:p>
      <w:pPr>
        <w:numPr>
          <w:ilvl w:val="0"/>
          <w:numId w:val="1008"/>
        </w:numPr>
        <w:pStyle w:val="Compact"/>
      </w:pPr>
      <w:r>
        <w:t xml:space="preserve">Light Commercial Van (LCV - Last Mile): 0.2 kgCO2e/tkm</w:t>
      </w:r>
    </w:p>
    <w:p>
      <w:pPr>
        <w:numPr>
          <w:ilvl w:val="0"/>
          <w:numId w:val="1008"/>
        </w:numPr>
        <w:pStyle w:val="Compact"/>
      </w:pPr>
      <w:r>
        <w:t xml:space="preserve">End-of-Life (Recycling burden): 0.02 kgCO2e/kg</w:t>
      </w:r>
    </w:p>
    <w:p>
      <w:pPr>
        <w:numPr>
          <w:ilvl w:val="0"/>
          <w:numId w:val="1008"/>
        </w:numPr>
        <w:pStyle w:val="Compact"/>
      </w:pPr>
      <w:r>
        <w:t xml:space="preserve">End-of-Life (Non-recycled waste, e.g., landfill/incineration burden): 0.5 kgCO2e/kg</w:t>
      </w:r>
    </w:p>
    <w:bookmarkEnd w:id="29"/>
    <w:bookmarkStart w:id="37" w:name="X3ad686126be87644d2acc9771d0d52cc84ba732"/>
    <w:p>
      <w:pPr>
        <w:pStyle w:val="Heading3"/>
      </w:pPr>
      <w:r>
        <w:t xml:space="preserve">GHG Emissions by Lifecycle Stage and Scope</w:t>
      </w:r>
    </w:p>
    <w:bookmarkStart w:id="30" w:name="X4680f8afc8240cbfeeb10b5c91f6293ef30cb5f"/>
    <w:p>
      <w:pPr>
        <w:pStyle w:val="Heading4"/>
      </w:pPr>
      <w:r>
        <w:t xml:space="preserve">1. Materials Acquisition &amp; Pre-processing (Scope 3, Category 1)</w:t>
      </w:r>
    </w:p>
    <w:p>
      <w:pPr>
        <w:numPr>
          <w:ilvl w:val="0"/>
          <w:numId w:val="1009"/>
        </w:numPr>
        <w:pStyle w:val="Compact"/>
      </w:pPr>
      <w:r>
        <w:t xml:space="preserve">Steel: 0.5 kg * 1.8 kgCO2e/kg = 0.90 kgCO2e</w:t>
      </w:r>
    </w:p>
    <w:p>
      <w:pPr>
        <w:numPr>
          <w:ilvl w:val="0"/>
          <w:numId w:val="1009"/>
        </w:numPr>
        <w:pStyle w:val="Compact"/>
      </w:pPr>
      <w:r>
        <w:t xml:space="preserve">ABS Plastic: 0.2 kg * 3.1 kgCO2e/kg = 0.62 kgCO2e</w:t>
      </w:r>
    </w:p>
    <w:p>
      <w:pPr>
        <w:numPr>
          <w:ilvl w:val="0"/>
          <w:numId w:val="1009"/>
        </w:numPr>
        <w:pStyle w:val="Compact"/>
      </w:pPr>
      <w:r>
        <w:t xml:space="preserve">Electronics (PCB): 0.1 unit * 10.0 kgCO2e/unit = 1.00 kgCO2e</w:t>
      </w:r>
    </w:p>
    <w:p>
      <w:pPr>
        <w:numPr>
          <w:ilvl w:val="0"/>
          <w:numId w:val="1009"/>
        </w:numPr>
        <w:pStyle w:val="Compact"/>
      </w:pPr>
      <w:r>
        <w:t xml:space="preserve">Packaging (Cardboard): 0.1 kg * 1.2 kgCO2e/kg = 0.12 kgCO2e</w:t>
      </w:r>
    </w:p>
    <w:p>
      <w:pPr>
        <w:numPr>
          <w:ilvl w:val="0"/>
          <w:numId w:val="1009"/>
        </w:numPr>
        <w:pStyle w:val="Compact"/>
      </w:pPr>
      <w:r>
        <w:rPr>
          <w:bCs/>
          <w:b/>
        </w:rPr>
        <w:t xml:space="preserve">Total Materials Emissions: 2.64 kgCO2e</w:t>
      </w:r>
    </w:p>
    <w:bookmarkEnd w:id="30"/>
    <w:bookmarkStart w:id="31" w:name="manufacturing-scope-2"/>
    <w:p>
      <w:pPr>
        <w:pStyle w:val="Heading4"/>
      </w:pPr>
      <w:r>
        <w:t xml:space="preserve">2. Manufacturing (Scope 2)</w:t>
      </w:r>
    </w:p>
    <w:p>
      <w:pPr>
        <w:pStyle w:val="FirstParagraph"/>
      </w:pPr>
      <w:r>
        <w:t xml:space="preserve">The manufacturing process is assumed to occur in China. Scope 1 emissions (direct emissions from owned/controlled facilities) are considered negligible for this product\'s manufacturing and are not quantified separately in the provided parameters. Focus is on Scope 2 (purchased electricity).</w:t>
      </w:r>
    </w:p>
    <w:p>
      <w:pPr>
        <w:numPr>
          <w:ilvl w:val="0"/>
          <w:numId w:val="1010"/>
        </w:numPr>
        <w:pStyle w:val="Compact"/>
      </w:pPr>
      <w:r>
        <w:t xml:space="preserve">Energy Intensity: 5 kWh/unit</w:t>
      </w:r>
    </w:p>
    <w:p>
      <w:pPr>
        <w:numPr>
          <w:ilvl w:val="0"/>
          <w:numId w:val="1010"/>
        </w:numPr>
        <w:pStyle w:val="Compact"/>
      </w:pPr>
      <w:r>
        <w:t xml:space="preserve">Renewable Energy Usage: 30%</w:t>
      </w:r>
    </w:p>
    <w:p>
      <w:pPr>
        <w:numPr>
          <w:ilvl w:val="0"/>
          <w:numId w:val="1010"/>
        </w:numPr>
        <w:pStyle w:val="Compact"/>
      </w:pPr>
      <w:r>
        <w:t xml:space="preserve">Non-renewable electricity: 5 kWh * (1 - 0.30) = 3.5 kWh</w:t>
      </w:r>
    </w:p>
    <w:p>
      <w:pPr>
        <w:numPr>
          <w:ilvl w:val="0"/>
          <w:numId w:val="1010"/>
        </w:numPr>
        <w:pStyle w:val="Compact"/>
      </w:pPr>
      <w:r>
        <w:t xml:space="preserve">China Grid Emission Factor: 0.6205 kgCO2e/kWh</w:t>
      </w:r>
    </w:p>
    <w:p>
      <w:pPr>
        <w:numPr>
          <w:ilvl w:val="0"/>
          <w:numId w:val="1010"/>
        </w:numPr>
        <w:pStyle w:val="Compact"/>
      </w:pPr>
      <w:r>
        <w:rPr>
          <w:bCs/>
          <w:b/>
        </w:rPr>
        <w:t xml:space="preserve">Total Manufacturing Energy (Scope 2) Emissions: 3.5 kWh * 0.6205 kgCO2e/kWh = 2.17 kgCO2e</w:t>
      </w:r>
    </w:p>
    <w:bookmarkEnd w:id="31"/>
    <w:bookmarkStart w:id="34" w:name="transportation-scope-3-categories-4-9"/>
    <w:p>
      <w:pPr>
        <w:pStyle w:val="Heading4"/>
      </w:pPr>
      <w:r>
        <w:t xml:space="preserve">3. Transportation (Scope 3, Categories 4 &amp; 9)</w:t>
      </w:r>
    </w:p>
    <w:p>
      <w:pPr>
        <w:pStyle w:val="FirstParagraph"/>
      </w:pPr>
      <w:r>
        <w:t xml:space="preserve">Total product weight for transport is 0.9 kg (0.0009 tonnes).</w:t>
      </w:r>
    </w:p>
    <w:bookmarkStart w:id="32" w:name="upstream-transportation-category-4"/>
    <w:p>
      <w:pPr>
        <w:pStyle w:val="Heading5"/>
      </w:pPr>
      <w:r>
        <w:t xml:space="preserve">Upstream Transportation (Category 4)</w:t>
      </w:r>
    </w:p>
    <w:p>
      <w:pPr>
        <w:numPr>
          <w:ilvl w:val="0"/>
          <w:numId w:val="1011"/>
        </w:numPr>
        <w:pStyle w:val="Compact"/>
      </w:pPr>
      <w:r>
        <w:t xml:space="preserve">Truck (European suppliers to European port): 0.0009 t * 0.5 (material fraction) * 500 km * 0.07 kgCO2e/tkm = 0.0158 kgCO2e</w:t>
      </w:r>
    </w:p>
    <w:p>
      <w:pPr>
        <w:numPr>
          <w:ilvl w:val="0"/>
          <w:numId w:val="1011"/>
        </w:numPr>
        <w:pStyle w:val="Compact"/>
      </w:pPr>
      <w:r>
        <w:t xml:space="preserve">Ocean Freight (Europe to China factory): 0.0009 t * 15,000 km * 0.016 kgCO2e/tkm = 0.2160 kgCO2e</w:t>
      </w:r>
    </w:p>
    <w:p>
      <w:pPr>
        <w:numPr>
          <w:ilvl w:val="0"/>
          <w:numId w:val="1011"/>
        </w:numPr>
        <w:pStyle w:val="Compact"/>
      </w:pPr>
      <w:r>
        <w:t xml:space="preserve">Truck (China port to China factory): 0.0009 t * 500 km * 0.07 kgCO2e/tkm = 0.0315 kgCO2e</w:t>
      </w:r>
    </w:p>
    <w:p>
      <w:pPr>
        <w:numPr>
          <w:ilvl w:val="0"/>
          <w:numId w:val="1011"/>
        </w:numPr>
        <w:pStyle w:val="Compact"/>
      </w:pPr>
      <w:r>
        <w:rPr>
          <w:bCs/>
          <w:b/>
        </w:rPr>
        <w:t xml:space="preserve">Total Upstream Transport Emissions: 0.2633 kgCO2e</w:t>
      </w:r>
    </w:p>
    <w:bookmarkEnd w:id="32"/>
    <w:bookmarkStart w:id="33" w:name="downstream-transportation-category-9"/>
    <w:p>
      <w:pPr>
        <w:pStyle w:val="Heading5"/>
      </w:pPr>
      <w:r>
        <w:t xml:space="preserve">Downstream Transportation (Category 9)</w:t>
      </w:r>
    </w:p>
    <w:p>
      <w:pPr>
        <w:numPr>
          <w:ilvl w:val="0"/>
          <w:numId w:val="1012"/>
        </w:numPr>
        <w:pStyle w:val="Compact"/>
      </w:pPr>
      <w:r>
        <w:t xml:space="preserve">Truck (China factory to Port): 0.0009 t * 500 km * 0.07 kgCO2e/tkm = 0.0315 kgCO2e</w:t>
      </w:r>
    </w:p>
    <w:p>
      <w:pPr>
        <w:numPr>
          <w:ilvl w:val="0"/>
          <w:numId w:val="1012"/>
        </w:numPr>
        <w:pStyle w:val="Compact"/>
      </w:pPr>
      <w:r>
        <w:t xml:space="preserve">Ocean Freight (China to European port): 0.0009 t * 15,000 km * 0.016 kgCO2e/tkm = 0.2160 kgCO2e</w:t>
      </w:r>
    </w:p>
    <w:p>
      <w:pPr>
        <w:numPr>
          <w:ilvl w:val="0"/>
          <w:numId w:val="1012"/>
        </w:numPr>
        <w:pStyle w:val="Compact"/>
      </w:pPr>
      <w:r>
        <w:t xml:space="preserve">Truck (European port to Distribution Center): 0.0009 t * 1,000 km * 0.07 kgCO2e/tkm = 0.0630 kgCO2e</w:t>
      </w:r>
    </w:p>
    <w:p>
      <w:pPr>
        <w:numPr>
          <w:ilvl w:val="0"/>
          <w:numId w:val="1012"/>
        </w:numPr>
        <w:pStyle w:val="Compact"/>
      </w:pPr>
      <w:r>
        <w:t xml:space="preserve">Last-Mile Delivery (LCV): 0.0009 t * 100 km * 0.2 kgCO2e/tkm = 0.0180 kgCO2e</w:t>
      </w:r>
    </w:p>
    <w:p>
      <w:pPr>
        <w:numPr>
          <w:ilvl w:val="0"/>
          <w:numId w:val="1012"/>
        </w:numPr>
        <w:pStyle w:val="Compact"/>
      </w:pPr>
      <w:r>
        <w:rPr>
          <w:bCs/>
          <w:b/>
        </w:rPr>
        <w:t xml:space="preserve">Total Downstream Transport Emissions: 0.3285 kgCO2e</w:t>
      </w:r>
    </w:p>
    <w:p>
      <w:pPr>
        <w:pStyle w:val="FirstParagraph"/>
      </w:pPr>
      <w:r>
        <w:rPr>
          <w:bCs/>
          <w:b/>
        </w:rPr>
        <w:t xml:space="preserve">Overall Total Transportation Emissions: 0.2633 kgCO2e + 0.3285 kgCO2e = 0.5918 kgCO2e</w:t>
      </w:r>
    </w:p>
    <w:bookmarkEnd w:id="33"/>
    <w:bookmarkEnd w:id="34"/>
    <w:bookmarkStart w:id="35" w:name="use-phase-scope-3-category-11"/>
    <w:p>
      <w:pPr>
        <w:pStyle w:val="Heading4"/>
      </w:pPr>
      <w:r>
        <w:t xml:space="preserve">4. Use Phase (Scope 3, Category 11)</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over Lifespan: 10 kWh/year * 5 years = 50 kWh</w:t>
      </w:r>
    </w:p>
    <w:p>
      <w:pPr>
        <w:numPr>
          <w:ilvl w:val="0"/>
          <w:numId w:val="1013"/>
        </w:numPr>
        <w:pStyle w:val="Compact"/>
      </w:pPr>
      <w:r>
        <w:t xml:space="preserve">Europe Average Grid Emission Factor: 0.25 kgCO2e/kWh</w:t>
      </w:r>
    </w:p>
    <w:p>
      <w:pPr>
        <w:numPr>
          <w:ilvl w:val="0"/>
          <w:numId w:val="1013"/>
        </w:numPr>
        <w:pStyle w:val="Compact"/>
      </w:pPr>
      <w:r>
        <w:rPr>
          <w:bCs/>
          <w:b/>
        </w:rPr>
        <w:t xml:space="preserve">Total Use Phase Emissions: 50 kWh * 0.25 kgCO2e/kWh = 12.50 kgCO2e</w:t>
      </w:r>
    </w:p>
    <w:bookmarkEnd w:id="35"/>
    <w:bookmarkStart w:id="36" w:name="X9df28a3cb2cac9b2108080e1e3d009bc306b804"/>
    <w:p>
      <w:pPr>
        <w:pStyle w:val="Heading4"/>
      </w:pPr>
      <w:r>
        <w:t xml:space="preserve">5. End-of-Life Treatment (Scope 3, Category 12)</w:t>
      </w:r>
    </w:p>
    <w:p>
      <w:pPr>
        <w:pStyle w:val="FirstParagraph"/>
      </w:pPr>
      <w:r>
        <w:t xml:space="preserve">The product take-back program results in 10% of units being refurbished, meaning 90% proceed to end-of-life treatment. Effective weight for EoL calculation = 0.9 kg * 0.90 = 0.81 kg.</w:t>
      </w:r>
    </w:p>
    <w:p>
      <w:pPr>
        <w:numPr>
          <w:ilvl w:val="0"/>
          <w:numId w:val="1014"/>
        </w:numPr>
        <w:pStyle w:val="Compact"/>
      </w:pPr>
      <w:r>
        <w:t xml:space="preserve">Recyclability Percentage: 70% of effective weight.</w:t>
      </w:r>
    </w:p>
    <w:p>
      <w:pPr>
        <w:numPr>
          <w:ilvl w:val="0"/>
          <w:numId w:val="1014"/>
        </w:numPr>
        <w:pStyle w:val="Compact"/>
      </w:pPr>
      <w:r>
        <w:t xml:space="preserve">Weight Recycled: 0.81 kg * 0.70 = 0.567 kg</w:t>
      </w:r>
    </w:p>
    <w:p>
      <w:pPr>
        <w:numPr>
          <w:ilvl w:val="0"/>
          <w:numId w:val="1014"/>
        </w:numPr>
        <w:pStyle w:val="Compact"/>
      </w:pPr>
      <w:r>
        <w:t xml:space="preserve">Weight Non-Recycled (Landfilled/Incinerated): 0.81 kg * 0.30 = 0.243 kg</w:t>
      </w:r>
    </w:p>
    <w:p>
      <w:pPr>
        <w:numPr>
          <w:ilvl w:val="0"/>
          <w:numId w:val="1014"/>
        </w:numPr>
        <w:pStyle w:val="Compact"/>
      </w:pPr>
      <w:r>
        <w:t xml:space="preserve">Emissions from Recycling: 0.567 kg * 0.02 kgCO2e/kg = 0.0113 kgCO2e</w:t>
      </w:r>
    </w:p>
    <w:p>
      <w:pPr>
        <w:numPr>
          <w:ilvl w:val="0"/>
          <w:numId w:val="1014"/>
        </w:numPr>
        <w:pStyle w:val="Compact"/>
      </w:pPr>
      <w:r>
        <w:t xml:space="preserve">Emissions from Non-Recycled Waste: 0.243 kg * 0.5 kgCO2e/kg = 0.1215 kgCO2e</w:t>
      </w:r>
    </w:p>
    <w:p>
      <w:pPr>
        <w:numPr>
          <w:ilvl w:val="0"/>
          <w:numId w:val="1014"/>
        </w:numPr>
        <w:pStyle w:val="Compact"/>
      </w:pPr>
      <w:r>
        <w:rPr>
          <w:bCs/>
          <w:b/>
        </w:rPr>
        <w:t xml:space="preserve">Total End-of-Life Emissions: 0.0113 kgCO2e + 0.1215 kgCO2e = 0.1328 kgCO2e</w:t>
      </w:r>
    </w:p>
    <w:bookmarkEnd w:id="36"/>
    <w:bookmarkEnd w:id="37"/>
    <w:bookmarkStart w:id="38" w:name="total-product-carbon-footprint-pcf"/>
    <w:p>
      <w:pPr>
        <w:pStyle w:val="Heading3"/>
      </w:pPr>
      <w:r>
        <w:t xml:space="preserve">Total Product Carbon Footprint (PCF)</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2.64</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2.17</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0.26</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0.33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0.13</w:t>
            </w:r>
          </w:p>
        </w:tc>
      </w:tr>
      <w:tr>
        <w:tc>
          <w:tcPr>
            <w:gridSpan w:val="2"/>
          </w:tcPr>
          <w:p>
            <w:pPr>
              <w:pStyle w:val="Compact"/>
              <w:jc w:val="right"/>
            </w:pPr>
            <w:r>
              <w:t xml:space="preserve">Total Product Carbon Footprint:</w:t>
            </w:r>
          </w:p>
        </w:tc>
        <w:tc>
          <w:tcPr/>
          <w:p>
            <w:pPr>
              <w:pStyle w:val="Compact"/>
              <w:jc w:val="left"/>
            </w:pPr>
            <w:r>
              <w:t xml:space="preserve">18.03</w:t>
            </w:r>
          </w:p>
        </w:tc>
      </w:tr>
    </w:tbl>
    <w:bookmarkEnd w:id="38"/>
    <w:bookmarkStart w:id="39" w:name="ghg-protocol-scope-breakdown"/>
    <w:p>
      <w:pPr>
        <w:pStyle w:val="Heading3"/>
      </w:pPr>
      <w:r>
        <w:t xml:space="preserve">GHG Protocol Scope Breakdown</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2.17</w:t>
            </w:r>
          </w:p>
        </w:tc>
        <w:tc>
          <w:tcPr/>
          <w:p>
            <w:pPr>
              <w:pStyle w:val="Compact"/>
              <w:jc w:val="left"/>
            </w:pPr>
            <w:r>
              <w:t xml:space="preserve">12.0%</w:t>
            </w:r>
          </w:p>
        </w:tc>
      </w:tr>
      <w:tr>
        <w:tc>
          <w:tcPr/>
          <w:p>
            <w:pPr>
              <w:pStyle w:val="Compact"/>
              <w:jc w:val="left"/>
            </w:pPr>
            <w:r>
              <w:t xml:space="preserve">Scope 3 (Value Chain)</w:t>
            </w:r>
          </w:p>
        </w:tc>
        <w:tc>
          <w:tcPr/>
          <w:p>
            <w:pPr>
              <w:pStyle w:val="Compact"/>
              <w:jc w:val="left"/>
            </w:pPr>
            <w:r>
              <w:t xml:space="preserve">15.86</w:t>
            </w:r>
          </w:p>
        </w:tc>
        <w:tc>
          <w:tcPr/>
          <w:p>
            <w:pPr>
              <w:pStyle w:val="Compact"/>
              <w:jc w:val="left"/>
            </w:pPr>
            <w:r>
              <w:t xml:space="preserve">88.0%</w:t>
            </w:r>
          </w:p>
        </w:tc>
      </w:tr>
      <w:tr>
        <w:tc>
          <w:tcPr/>
          <w:p>
            <w:pPr>
              <w:pStyle w:val="Compact"/>
              <w:jc w:val="right"/>
            </w:pPr>
            <w:r>
              <w:t xml:space="preserve">Total:</w:t>
            </w:r>
          </w:p>
        </w:tc>
        <w:tc>
          <w:tcPr/>
          <w:p>
            <w:pPr>
              <w:pStyle w:val="Compact"/>
              <w:jc w:val="left"/>
            </w:pPr>
            <w:r>
              <w:t xml:space="preserve">18.03</w:t>
            </w:r>
          </w:p>
        </w:tc>
        <w:tc>
          <w:tcPr/>
          <w:p>
            <w:pPr>
              <w:pStyle w:val="Compact"/>
              <w:jc w:val="left"/>
            </w:pPr>
            <w:r>
              <w:t xml:space="preserve">100.0%</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hotspots-identification"/>
    <w:p>
      <w:pPr>
        <w:pStyle w:val="Heading3"/>
      </w:pPr>
      <w:r>
        <w:t xml:space="preserve">Hotspots Identification</w:t>
      </w:r>
    </w:p>
    <w:p>
      <w:pPr>
        <w:pStyle w:val="FirstParagraph"/>
      </w:pPr>
      <w:r>
        <w:t xml:space="preserve">Based on the calculations, the primary carbon hotspots for sdelefsgsi are:</w:t>
      </w:r>
    </w:p>
    <w:p>
      <w:pPr>
        <w:numPr>
          <w:ilvl w:val="0"/>
          <w:numId w:val="1015"/>
        </w:numPr>
        <w:pStyle w:val="Compact"/>
      </w:pPr>
      <w:r>
        <w:rPr>
          <w:bCs/>
          <w:b/>
        </w:rPr>
        <w:t xml:space="preserve">Use Phase (69.3%):</w:t>
      </w:r>
      <w:r>
        <w:t xml:space="preserve"> </w:t>
      </w:r>
      <w:r>
        <w:t xml:space="preserve">The energy consumption during the 5-year product lifespan is the most significant contributor to the overall carbon footprint. This highlights the importance of energy-efficient product design and promoting renewable energy sources for consumers.</w:t>
      </w:r>
    </w:p>
    <w:p>
      <w:pPr>
        <w:numPr>
          <w:ilvl w:val="0"/>
          <w:numId w:val="1015"/>
        </w:numPr>
        <w:pStyle w:val="Compact"/>
      </w:pPr>
      <w:r>
        <w:rPr>
          <w:bCs/>
          <w:b/>
        </w:rPr>
        <w:t xml:space="preserve">Materials Acquisition (14.6%):</w:t>
      </w:r>
      <w:r>
        <w:t xml:space="preserve"> </w:t>
      </w:r>
      <w:r>
        <w:t xml:space="preserve">The production of raw materials, especially electronics (PCB) and ABS plastic, contributes substantially. Optimizing material selection, increasing recycled content, and engaging with low-carbon suppliers are crucial.</w:t>
      </w:r>
    </w:p>
    <w:p>
      <w:pPr>
        <w:numPr>
          <w:ilvl w:val="0"/>
          <w:numId w:val="1015"/>
        </w:numPr>
        <w:pStyle w:val="Compact"/>
      </w:pPr>
      <w:r>
        <w:rPr>
          <w:bCs/>
          <w:b/>
        </w:rPr>
        <w:t xml:space="preserve">Manufacturing Energy (12.0%):</w:t>
      </w:r>
      <w:r>
        <w:t xml:space="preserve"> </w:t>
      </w:r>
      <w:r>
        <w:t xml:space="preserve">While lower than the use phase, the electricity consumed during manufacturing in China represents a notable portion. Increasing renewable energy usage at production facilities is a key leverage point.</w:t>
      </w:r>
    </w:p>
    <w:bookmarkEnd w:id="41"/>
    <w:bookmarkStart w:id="42" w:name="X667da5c2992f93ed7623b401007ba2325123250"/>
    <w:p>
      <w:pPr>
        <w:pStyle w:val="Heading3"/>
      </w:pPr>
      <w:r>
        <w:t xml:space="preserve">Reliability and 2026 GHG Protocol Compliance</w:t>
      </w:r>
    </w:p>
    <w:p>
      <w:pPr>
        <w:pStyle w:val="FirstParagraph"/>
      </w:pPr>
      <w:r>
        <w:t xml:space="preserve">This report has been developed in adherence to the GHG Protocol Product Standard. Key aspects of the 2026 updates have been considered:</w:t>
      </w:r>
    </w:p>
    <w:p>
      <w:pPr>
        <w:numPr>
          <w:ilvl w:val="0"/>
          <w:numId w:val="1016"/>
        </w:numPr>
        <w:pStyle w:val="Compact"/>
      </w:pPr>
      <w:r>
        <w:rPr>
          <w:bCs/>
          <w:b/>
        </w:rPr>
        <w:t xml:space="preserve">Scope 3 Compliance (95% Coverage Rule):</w:t>
      </w:r>
      <w:r>
        <w:t xml:space="preserve"> </w:t>
      </w:r>
      <w:r>
        <w:t xml:space="preserve">The analysis for sdelefsgsi explicitly covers upstream materials (Category 1), upstream transportation (Category 4), downstream transportation (Category 9), use of sold products (Category 11), and end-of-life treatment of sold products (Category 12). These categories typically constitute the vast majority of emissions for manufactured goods. Based on this comprehensive coverage of material categories, the report aims for at least 95% coverage of relevant Scope 3 emissions.</w:t>
      </w:r>
    </w:p>
    <w:p>
      <w:pPr>
        <w:numPr>
          <w:ilvl w:val="0"/>
          <w:numId w:val="1016"/>
        </w:numPr>
        <w:pStyle w:val="Compact"/>
      </w:pPr>
      <w:r>
        <w:rPr>
          <w:bCs/>
          <w:b/>
        </w:rPr>
        <w:t xml:space="preserve">Land Sector and Removals (LSR) Standard Update:</w:t>
      </w:r>
      <w:r>
        <w:t xml:space="preserve"> </w:t>
      </w:r>
      <w:r>
        <w:t xml:space="preserve">The LSR Standard, taking effect on January 1, 2027, provides guidelines for accounting for land emissions, CO2 removals, and biogenic products. For a manufactured product like sdelefsgsi, direct land use change emissions within dvwdpoirms\'s operations (Scope 1) are assumed to be negligible given the \'factory_gate\' system boundary and the nature of the product. Upstream land impacts are embedded within the raw material emission factors (Scope 3, Category 1). While not directly quantified as separate LSR categories for this product, its principles are acknowledged for future detailed supply chain assessments, particularly if raw materials with significant agricultural or forestry origins were to be identified. The standard is particularly relevant for companies with significant land sector activities, such as producing or purchasing agricultural products.</w:t>
      </w:r>
    </w:p>
    <w:p>
      <w:pPr>
        <w:numPr>
          <w:ilvl w:val="0"/>
          <w:numId w:val="1016"/>
        </w:numPr>
        <w:pStyle w:val="Compact"/>
      </w:pPr>
      <w:r>
        <w:rPr>
          <w:bCs/>
          <w:b/>
        </w:rPr>
        <w:t xml:space="preserve">Data Disaggregation:</w:t>
      </w:r>
      <w:r>
        <w:t xml:space="preserve"> </w:t>
      </w:r>
      <w:r>
        <w:t xml:space="preserve">This report disaggregates emissions by lifecycle stage and GHG scope, moving towards improved data transparency.</w:t>
      </w:r>
    </w:p>
    <w:p>
      <w:pPr>
        <w:pStyle w:val="FirstParagraph"/>
      </w:pPr>
      <w:r>
        <w:t xml:space="preserve">The calculations rely on a mix of primary data (BOM quantities, energy intensity, lifespan, recyclability) and secondary, illustrative emission factors from generally accepted sources. The reliability could be further enhanced with more specific, primary supplier-specific emission data for all components and processes.</w:t>
      </w:r>
    </w:p>
    <w:bookmarkEnd w:id="42"/>
    <w:bookmarkStart w:id="43" w:name="recommendations"/>
    <w:p>
      <w:pPr>
        <w:pStyle w:val="Heading3"/>
      </w:pPr>
      <w:r>
        <w:t xml:space="preserve">Recommendations</w:t>
      </w:r>
    </w:p>
    <w:p>
      <w:pPr>
        <w:numPr>
          <w:ilvl w:val="0"/>
          <w:numId w:val="1017"/>
        </w:numPr>
        <w:pStyle w:val="Compact"/>
      </w:pPr>
      <w:r>
        <w:rPr>
          <w:bCs/>
          <w:b/>
        </w:rPr>
        <w:t xml:space="preserve">Optimize Use Phase:</w:t>
      </w:r>
      <w:r>
        <w:t xml:space="preserve"> </w:t>
      </w:r>
      <w:r>
        <w:t xml:space="preserve">Invest in R&amp;D for more energy-efficient designs for sdelefsgsi, explore lower-carbon energy options for end-users, or consider product-as-a-service models to retain control over end-of-life and potentially use phase energy.</w:t>
      </w:r>
    </w:p>
    <w:p>
      <w:pPr>
        <w:numPr>
          <w:ilvl w:val="0"/>
          <w:numId w:val="1017"/>
        </w:numPr>
        <w:pStyle w:val="Compact"/>
      </w:pPr>
      <w:r>
        <w:rPr>
          <w:bCs/>
          <w:b/>
        </w:rPr>
        <w:t xml:space="preserve">Supply Chain Decarbonization:</w:t>
      </w:r>
      <w:r>
        <w:t xml:space="preserve"> </w:t>
      </w:r>
      <w:r>
        <w:t xml:space="preserve">Engage with suppliers to source lower-carbon materials (e.g., recycled steel, ABS with lower PCF, or electronics with verified low-carbon production). Prioritize suppliers with transparent data and renewable energy commitments.</w:t>
      </w:r>
    </w:p>
    <w:p>
      <w:pPr>
        <w:numPr>
          <w:ilvl w:val="0"/>
          <w:numId w:val="1017"/>
        </w:numPr>
        <w:pStyle w:val="Compact"/>
      </w:pPr>
      <w:r>
        <w:rPr>
          <w:bCs/>
          <w:b/>
        </w:rPr>
        <w:t xml:space="preserve">Enhance Manufacturing Efficiency:</w:t>
      </w:r>
      <w:r>
        <w:t xml:space="preserve"> </w:t>
      </w:r>
      <w:r>
        <w:t xml:space="preserve">Increase the percentage of renewable energy used at the China manufacturing facility beyond the current 30%. Invest in energy-efficient machinery and processes.</w:t>
      </w:r>
    </w:p>
    <w:p>
      <w:pPr>
        <w:numPr>
          <w:ilvl w:val="0"/>
          <w:numId w:val="1017"/>
        </w:numPr>
        <w:pStyle w:val="Compact"/>
      </w:pPr>
      <w:r>
        <w:rPr>
          <w:bCs/>
          <w:b/>
        </w:rPr>
        <w:t xml:space="preserve">Strengthen Circularity:</w:t>
      </w:r>
      <w:r>
        <w:t xml:space="preserve"> </w:t>
      </w:r>
      <w:r>
        <w:t xml:space="preserve">Expand the existing take-back program to increase refurbishment rates beyond 10% and improve the collection and processing of materials for high-quality recycling. Explore design-for-disassembly to facilitate material recovery.</w:t>
      </w:r>
    </w:p>
    <w:p>
      <w:pPr>
        <w:numPr>
          <w:ilvl w:val="0"/>
          <w:numId w:val="1017"/>
        </w:numPr>
        <w:pStyle w:val="Compact"/>
      </w:pPr>
      <w:r>
        <w:rPr>
          <w:bCs/>
          <w:b/>
        </w:rPr>
        <w:t xml:space="preserve">Data Quality Improvement:</w:t>
      </w:r>
      <w:r>
        <w:t xml:space="preserve"> </w:t>
      </w:r>
      <w:r>
        <w:t xml:space="preserve">Initiate efforts to collect more primary (supplier-specific) data for emission factors, especially for high-impact materials and transportation routes, to further enhance report accuracy and meet evolving GHG Protocol data disaggregation requirements.</w:t>
      </w:r>
    </w:p>
    <w:p>
      <w:pPr>
        <w:pStyle w:val="FirstParagraph"/>
      </w:pPr>
      <w:r>
        <w:t xml:space="preserve">Confidential - Internal Use Only | Page</w:t>
      </w:r>
      <w:r>
        <w:t xml:space="preserve"> </w:t>
      </w:r>
      <w:r>
        <w:t xml:space="preserve">1</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sdelefsgsi</dc:title>
  <dc:creator/>
  <dc:description>Detailed Product Carbon Footprint (PCF) analysis report for sdelefsgsi, conducted by dvwdpoirms, adhering to GHG Protocol standards and 2026 updates.</dc:description>
  <dc:language>en</dc:language>
  <cp:keywords/>
  <dcterms:created xsi:type="dcterms:W3CDTF">2026-05-30T20:10:54Z</dcterms:created>
  <dcterms:modified xsi:type="dcterms:W3CDTF">2026-05-30T20:10:54Z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