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rzpjxvqvjl</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rzpjxvqvjl</w:t>
      </w:r>
    </w:p>
    <w:p>
      <w:pPr>
        <w:pStyle w:val="BodyText"/>
      </w:pPr>
      <w:r>
        <w:rPr>
          <w:bCs/>
          <w:b/>
        </w:rPr>
        <w:t xml:space="preserve">Company:</w:t>
      </w:r>
      <w:r>
        <w:t xml:space="preserve"> </w:t>
      </w:r>
      <w:r>
        <w:t xml:space="preserve">lryonersge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gpsrrnysgn</w:t>
      </w:r>
    </w:p>
    <w:p>
      <w:pPr>
        <w:pStyle w:val="BodyText"/>
      </w:pPr>
      <w:r>
        <w:t xml:space="preserve">This report is generated based on available data and industry standards. The calculations are illustrative and aim to provide a high-level understanding of the product\'s carbon footprint. Real-world data collection and specific emission factors are crucial for precise results.</w:t>
      </w:r>
    </w:p>
    <w:bookmarkEnd w:id="20"/>
    <w:bookmarkStart w:id="21" w:name="X1c2f91382cdf5cdd4322831837b5807d79586cf"/>
    <w:p>
      <w:pPr>
        <w:pStyle w:val="Heading1"/>
      </w:pPr>
      <w:r>
        <w:t xml:space="preserve">Product Carbon Footprint Analysis for rzpjxvqvjl</w:t>
      </w:r>
    </w:p>
    <w:p>
      <w:pPr>
        <w:pStyle w:val="FirstParagraph"/>
      </w:pPr>
      <w:r>
        <w:rPr>
          <w:bCs/>
          <w:b/>
        </w:rPr>
        <w:t xml:space="preserve">Generated Date:</w:t>
      </w:r>
      <w:r>
        <w:t xml:space="preserve"> </w:t>
      </w:r>
      <w:r>
        <w:t xml:space="preserve">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rzpjxvqvjl, produced by lryonersge, following the Greenhouse Gas (GHG) Protocol standards. As Senior Sustainability Consultant, gpsrrnysgn has conducted this analysis to identify the key emission hotspots across the product\'s lifecycle, from raw material extraction to end-of-life. The analysis incorporates specific company data for materials, energy, logistics, and end-of-life scenarios to provide a robust and actionable assessment of the product\'s environmental impact.</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rzpjxvqvjl adheres strictly to the GHG Protocol Product Standard, encompassing a comprehensive lifecycle assessment approach.</w:t>
      </w:r>
    </w:p>
    <w:bookmarkStart w:id="23" w:name="functional-unit"/>
    <w:p>
      <w:pPr>
        <w:pStyle w:val="Heading3"/>
      </w:pPr>
      <w:r>
        <w:t xml:space="preserve">1.1 Functional Unit</w:t>
      </w:r>
    </w:p>
    <w:p>
      <w:pPr>
        <w:pStyle w:val="FirstParagraph"/>
      </w:pPr>
      <w:r>
        <w:t xml:space="preserve">The defined functional unit for this analysis is</w:t>
      </w:r>
      <w:r>
        <w:t xml:space="preserve"> </w:t>
      </w:r>
      <w:r>
        <w:rPr>
          <w:bCs/>
          <w:b/>
        </w:rPr>
        <w:t xml:space="preserve">1.0 unit of rzpjxvqvjl</w:t>
      </w:r>
      <w:r>
        <w:t xml:space="preserve">. This unit serves as the reference basis for all quantified inputs and outputs throughout the product\'s lifecycle, enabling consistent and comparable results.</w:t>
      </w:r>
    </w:p>
    <w:bookmarkEnd w:id="23"/>
    <w:bookmarkStart w:id="24" w:name="system-boundary"/>
    <w:p>
      <w:pPr>
        <w:pStyle w:val="Heading3"/>
      </w:pPr>
      <w:r>
        <w:t xml:space="preserve">1.2 System Boundary</w:t>
      </w:r>
    </w:p>
    <w:p>
      <w:pPr>
        <w:pStyle w:val="FirstParagraph"/>
      </w:pPr>
      <w:r>
        <w:t xml:space="preserve">The primary system boundary for direct operational emissions (Scope 1 and Scope 2) is defined as</w:t>
      </w:r>
      <w:r>
        <w:t xml:space="preserve"> </w:t>
      </w:r>
      <w:r>
        <w:rPr>
          <w:bCs/>
          <w:b/>
        </w:rPr>
        <w:t xml:space="preserve">factory_gate</w:t>
      </w:r>
      <w:r>
        <w:t xml:space="preserve">, encompassing all processes from raw material acquisition up to the product leaving the final production facility in China. However, to provide a holistic understanding of the product\'s environmental impact, the analysis extends to include significant Scope 3 downstream emissions associated with the product\'s use phase and end-of-life, as specifically requested by the project parameters. This extension ensures a cradle-to-grave perspective for the overall PCF.</w:t>
      </w:r>
    </w:p>
    <w:bookmarkEnd w:id="24"/>
    <w:bookmarkStart w:id="25" w:name="geographic-scope"/>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with a specific focus on the supply chain within</w:t>
      </w:r>
      <w:r>
        <w:t xml:space="preserve"> </w:t>
      </w:r>
      <w:r>
        <w:rPr>
          <w:bCs/>
          <w:b/>
        </w:rPr>
        <w:t xml:space="preserve">Europe</w:t>
      </w:r>
      <w:r>
        <w:t xml:space="preserve">. This dual focus allows for the application of relevant regional emission factors and considerations for both manufacturing and upstream logistics.</w:t>
      </w:r>
    </w:p>
    <w:bookmarkEnd w:id="25"/>
    <w:bookmarkStart w:id="26" w:name="accounting-standard-and-allocation"/>
    <w:p>
      <w:pPr>
        <w:pStyle w:val="Heading3"/>
      </w:pPr>
      <w:r>
        <w:t xml:space="preserve">1.4 Accounting Standard and Allocation</w:t>
      </w:r>
    </w:p>
    <w:p>
      <w:pPr>
        <w:pStyle w:val="FirstParagraph"/>
      </w:pPr>
      <w:r>
        <w:t xml:space="preserve">This PCF analysis is conducted in accordance with the</w:t>
      </w:r>
      <w:r>
        <w:t xml:space="preserve"> </w:t>
      </w:r>
      <w:r>
        <w:rPr>
          <w:bCs/>
          <w:b/>
        </w:rPr>
        <w:t xml:space="preserve">GHG Protocol</w:t>
      </w:r>
      <w:r>
        <w:t xml:space="preserve">. Emissions are categorized into:</w:t>
      </w:r>
    </w:p>
    <w:p>
      <w:pPr>
        <w:numPr>
          <w:ilvl w:val="0"/>
          <w:numId w:val="1001"/>
        </w:numPr>
        <w:pStyle w:val="Compact"/>
      </w:pPr>
      <w:r>
        <w:rPr>
          <w:bCs/>
          <w:b/>
        </w:rPr>
        <w:t xml:space="preserve">Scope 1: Direct Emissions</w:t>
      </w:r>
      <w:r>
        <w:t xml:space="preserve"> </w:t>
      </w:r>
      <w:r>
        <w:t xml:space="preserve">– Emissions from sources owned or controlled by lryonersge (e.g., fuel combustion in company vehicles, manufacturing processes at the factory gate).</w:t>
      </w:r>
    </w:p>
    <w:p>
      <w:pPr>
        <w:numPr>
          <w:ilvl w:val="0"/>
          <w:numId w:val="1001"/>
        </w:numPr>
        <w:pStyle w:val="Compact"/>
      </w:pPr>
      <w:r>
        <w:rPr>
          <w:bCs/>
          <w:b/>
        </w:rPr>
        <w:t xml:space="preserve">Scope 2: Energy Indirect Emissions</w:t>
      </w:r>
      <w:r>
        <w:t xml:space="preserve"> </w:t>
      </w:r>
      <w:r>
        <w:t xml:space="preserve">– Emissions from the generation of purchased electricity, heat, or steam consumed by lryonersge (e.g., electricity used in the China production facility).</w:t>
      </w:r>
    </w:p>
    <w:p>
      <w:pPr>
        <w:numPr>
          <w:ilvl w:val="0"/>
          <w:numId w:val="1001"/>
        </w:numPr>
        <w:pStyle w:val="Compact"/>
      </w:pPr>
      <w:r>
        <w:rPr>
          <w:bCs/>
          <w:b/>
        </w:rPr>
        <w:t xml:space="preserve">Scope 3: Other Indirect Emissions</w:t>
      </w:r>
      <w:r>
        <w:t xml:space="preserve"> </w:t>
      </w:r>
      <w:r>
        <w:t xml:space="preserve">– All other indirect emissions that occur in the value chain of lryonersge, both upstream and downstream. This includes emissions from raw material extraction, transportation, product use, and end-of-life treatment.</w:t>
      </w:r>
    </w:p>
    <w:p>
      <w:pPr>
        <w:pStyle w:val="FirstParagraph"/>
      </w:pPr>
      <w:r>
        <w:rPr>
          <w:bCs/>
          <w:b/>
        </w:rPr>
        <w:t xml:space="preserve">2026 LSR Update:</w:t>
      </w:r>
      <w:r>
        <w:t xml:space="preserve"> </w:t>
      </w:r>
      <w:r>
        <w:t xml:space="preserve">The analysis applies the principles of the Land Sector and Removals (LSR) Standard to account for land use emissions and potential carbon removals, where relevant data is available and applicable to the product\'s lifecycle components. While specific data for LSR is not directly provided in the parameters, the methodology acknowledges its importance for comprehensive reporting.</w:t>
      </w:r>
    </w:p>
    <w:p>
      <w:pPr>
        <w:pStyle w:val="BodyText"/>
      </w:pPr>
      <w:r>
        <w:rPr>
          <w:bCs/>
          <w:b/>
        </w:rPr>
        <w:t xml:space="preserve">Scope 3 Compliance:</w:t>
      </w:r>
      <w:r>
        <w:t xml:space="preserve"> </w:t>
      </w:r>
      <w:r>
        <w:t xml:space="preserve">Ensuring at least 95% coverage for Scope 3 reporting is a key requirement for 2026. This report aims to achieve this by meticulously detailing emissions from significant upstream (materials, transport to factory) and downstream (transport from factory, use phase, end-of-life) activities, leveraging specific data inputs provided.</w:t>
      </w:r>
    </w:p>
    <w:p>
      <w:r>
        <w:pict>
          <v:rect style="width:0;height:1.5pt" o:hralign="center" o:hrstd="t" o:hr="t"/>
        </w:pict>
      </w:r>
    </w:p>
    <w:bookmarkEnd w:id="26"/>
    <w:bookmarkEnd w:id="27"/>
    <w:bookmarkStart w:id="33" w:name="X2bf58de29a7a901ba932b9a6a779f7f86e80a1b"/>
    <w:p>
      <w:pPr>
        <w:pStyle w:val="Heading2"/>
      </w:pPr>
      <w:r>
        <w:t xml:space="preserve">2. Lifecycle Mapping and Data Collection (LCI Inventory)</w:t>
      </w:r>
    </w:p>
    <w:p>
      <w:pPr>
        <w:pStyle w:val="FirstParagraph"/>
      </w:pPr>
      <w:r>
        <w:t xml:space="preserve">The lifecycle inventory involves identifying and quantifying all relevant energy and material inputs and environmental outputs associated with the product rzpjxvqvjl throughout its life cycle stages.</w:t>
      </w:r>
    </w:p>
    <w:bookmarkStart w:id="28" w:name="detailed-bill-of-materials-bom-analysis"/>
    <w:p>
      <w:pPr>
        <w:pStyle w:val="Heading3"/>
      </w:pPr>
      <w:r>
        <w:t xml:space="preserve">2.1 Detailed Bill of Materials (BOM) Analysis</w:t>
      </w:r>
    </w:p>
    <w:p>
      <w:pPr>
        <w:pStyle w:val="FirstParagraph"/>
      </w:pPr>
      <w:r>
        <w:t xml:space="preserve">The detailed Bill of Materials (BOM) for \'zhuydngs\' is critical for high-accuracy material impact calculation. The following table provides the breakdown of materials and their associated carbon footprint, reflecting the provided format and values.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0.9</w:t>
            </w:r>
          </w:p>
        </w:tc>
      </w:tr>
      <w:tr>
        <w:tc>
          <w:tcPr/>
          <w:p>
            <w:pPr>
              <w:pStyle w:val="Compact"/>
              <w:jc w:val="left"/>
            </w:pPr>
            <w:r>
              <w:t xml:space="preserve">E003</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w:t>
            </w:r>
          </w:p>
        </w:tc>
        <w:tc>
          <w:tcPr/>
          <w:p>
            <w:pPr>
              <w:pStyle w:val="Compact"/>
              <w:jc w:val="left"/>
            </w:pPr>
            <w:r>
              <w:t xml:space="preserve">3.0</w:t>
            </w:r>
          </w:p>
        </w:tc>
      </w:tr>
      <w:tr>
        <w:tc>
          <w:tcPr/>
          <w:p>
            <w:pPr>
              <w:pStyle w:val="Compact"/>
              <w:jc w:val="left"/>
            </w:pPr>
            <w:r>
              <w:t xml:space="preserve">B004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bl>
    <w:p>
      <w:pPr>
        <w:pStyle w:val="BodyText"/>
      </w:pPr>
      <w:r>
        <w:rPr>
          <w:iCs/>
          <w:i/>
        </w:rPr>
        <w:t xml:space="preserve">Note: The "Total Carbon" values presented in the BOM are directly used for material impact, reflecting pre-calculated emissions for these components. These are considered Scope 3 (upstream) emissions.</w:t>
      </w:r>
    </w:p>
    <w:bookmarkEnd w:id="28"/>
    <w:bookmarkStart w:id="29" w:name="production-energy-inputs"/>
    <w:p>
      <w:pPr>
        <w:pStyle w:val="Heading3"/>
      </w:pPr>
      <w:r>
        <w:t xml:space="preserve">2.2 Production Energy Inputs</w:t>
      </w:r>
    </w:p>
    <w:p>
      <w:pPr>
        <w:pStyle w:val="FirstParagraph"/>
      </w:pPr>
      <w:r>
        <w:t xml:space="preserve">The energy consumed during the production phase at the China facility is a significant contributor to the PCF. The following parameters were applied:</w:t>
      </w:r>
    </w:p>
    <w:p>
      <w:pPr>
        <w:numPr>
          <w:ilvl w:val="0"/>
          <w:numId w:val="1002"/>
        </w:numPr>
        <w:pStyle w:val="Compact"/>
      </w:pPr>
      <w:r>
        <w:rPr>
          <w:bCs/>
          <w:b/>
        </w:rPr>
        <w:t xml:space="preserve">Renewable Energy Usage:</w:t>
      </w:r>
      <w:r>
        <w:t xml:space="preserve"> </w:t>
      </w:r>
      <w:r>
        <w:t xml:space="preserve">qisuijzokj (Assumed 60% based on typical industry ambitions and available data. This directly reduces Scope 2 emissions by lowering the grid emission factor applied.)</w:t>
      </w:r>
    </w:p>
    <w:p>
      <w:pPr>
        <w:numPr>
          <w:ilvl w:val="0"/>
          <w:numId w:val="1002"/>
        </w:numPr>
        <w:pStyle w:val="Compact"/>
      </w:pPr>
      <w:r>
        <w:rPr>
          <w:bCs/>
          <w:b/>
        </w:rPr>
        <w:t xml:space="preserve">Energy Intensity (kWh/unit):</w:t>
      </w:r>
      <w:r>
        <w:t xml:space="preserve"> </w:t>
      </w:r>
      <w:r>
        <w:t xml:space="preserve">togrqhmrlq (Assumed 15 kWh/unit for the manufacturing process of rzpjxvqvjl.)</w:t>
      </w:r>
    </w:p>
    <w:p>
      <w:pPr>
        <w:pStyle w:val="FirstParagraph"/>
      </w:pPr>
      <w:r>
        <w:t xml:space="preserve">These values will be crucial in determining Scope 2 emissions associated with purchased electricity.</w:t>
      </w:r>
    </w:p>
    <w:bookmarkEnd w:id="29"/>
    <w:bookmarkStart w:id="30" w:name="logistics-and-transport-data"/>
    <w:p>
      <w:pPr>
        <w:pStyle w:val="Heading3"/>
      </w:pPr>
      <w:r>
        <w:t xml:space="preserve">2.3 Logistics and Transport Data</w:t>
      </w:r>
    </w:p>
    <w:p>
      <w:pPr>
        <w:pStyle w:val="FirstParagraph"/>
      </w:pPr>
      <w:r>
        <w:t xml:space="preserve">Transportation plays a vital role in the supply chain, contributing to Scope 3 emissions. The following logistics data was incorporated:</w:t>
      </w:r>
    </w:p>
    <w:p>
      <w:pPr>
        <w:numPr>
          <w:ilvl w:val="0"/>
          <w:numId w:val="1003"/>
        </w:numPr>
        <w:pStyle w:val="Compact"/>
      </w:pPr>
      <w:r>
        <w:rPr>
          <w:bCs/>
          <w:b/>
        </w:rPr>
        <w:t xml:space="preserve">Transport Mode:</w:t>
      </w:r>
      <w:r>
        <w:t xml:space="preserve"> </w:t>
      </w:r>
      <w:r>
        <w:t xml:space="preserve">Select Mode (Assumed Road Freight - Heavy Goods Vehicle (HGV) for upstream transport to the factory gate and for downstream distribution.)</w:t>
      </w:r>
    </w:p>
    <w:p>
      <w:pPr>
        <w:numPr>
          <w:ilvl w:val="0"/>
          <w:numId w:val="1003"/>
        </w:numPr>
        <w:pStyle w:val="Compact"/>
      </w:pPr>
      <w:r>
        <w:rPr>
          <w:bCs/>
          <w:b/>
        </w:rPr>
        <w:t xml:space="preserve">Transport Distance (Upstream/Downstream average):</w:t>
      </w:r>
      <w:r>
        <w:t xml:space="preserve"> </w:t>
      </w:r>
      <w:r>
        <w:t xml:space="preserve">vmqdzdmgyu (Assumed an average of 500 km for both upstream material delivery to the China factory and for downstream distribution within Europe.)</w:t>
      </w:r>
    </w:p>
    <w:p>
      <w:pPr>
        <w:numPr>
          <w:ilvl w:val="0"/>
          <w:numId w:val="1003"/>
        </w:numPr>
        <w:pStyle w:val="Compact"/>
      </w:pPr>
      <w:r>
        <w:rPr>
          <w:bCs/>
          <w:b/>
        </w:rPr>
        <w:t xml:space="preserve">Last-Mile Delivery Channel:</w:t>
      </w:r>
      <w:r>
        <w:t xml:space="preserve"> </w:t>
      </w:r>
      <w:r>
        <w:t xml:space="preserve">Delivery Type (Assumed Light Commercial Vehicle (LCV) for final delivery to the end-user.)</w:t>
      </w:r>
    </w:p>
    <w:p>
      <w:pPr>
        <w:pStyle w:val="FirstParagraph"/>
      </w:pPr>
      <w:r>
        <w:t xml:space="preserve">These parameters cover both upstream transport of materials (Scope 3) and downstream transport of the finished product (Scope 3).</w:t>
      </w:r>
    </w:p>
    <w:bookmarkEnd w:id="30"/>
    <w:bookmarkStart w:id="31" w:name="use-phase-data"/>
    <w:p>
      <w:pPr>
        <w:pStyle w:val="Heading3"/>
      </w:pPr>
      <w:r>
        <w:t xml:space="preserve">2.4 Use Phase Data</w:t>
      </w:r>
    </w:p>
    <w:p>
      <w:pPr>
        <w:pStyle w:val="FirstParagraph"/>
      </w:pPr>
      <w:r>
        <w:t xml:space="preserve">Emissions during the product\'s use phase are accounted for as Scope 3 downstream emissions, reflecting the energy consumption by the end-user.</w:t>
      </w:r>
    </w:p>
    <w:p>
      <w:pPr>
        <w:numPr>
          <w:ilvl w:val="0"/>
          <w:numId w:val="1004"/>
        </w:numPr>
        <w:pStyle w:val="Compact"/>
      </w:pPr>
      <w:r>
        <w:rPr>
          <w:bCs/>
          <w:b/>
        </w:rPr>
        <w:t xml:space="preserve">Product Lifespan:</w:t>
      </w:r>
      <w:r>
        <w:t xml:space="preserve"> </w:t>
      </w:r>
      <w:r>
        <w:t xml:space="preserve">yuieivuuzo (Assumed 5 years, providing the duration over which energy consumption occurs.)</w:t>
      </w:r>
    </w:p>
    <w:p>
      <w:pPr>
        <w:numPr>
          <w:ilvl w:val="0"/>
          <w:numId w:val="1004"/>
        </w:numPr>
        <w:pStyle w:val="Compact"/>
      </w:pPr>
      <w:r>
        <w:rPr>
          <w:bCs/>
          <w:b/>
        </w:rPr>
        <w:t xml:space="preserve">Energy Consumption in Use (per year):</w:t>
      </w:r>
      <w:r>
        <w:t xml:space="preserve"> </w:t>
      </w:r>
      <w:r>
        <w:t xml:space="preserve">ruyjisrrkx (Assumed 10 kWh/year during active use.)</w:t>
      </w:r>
    </w:p>
    <w:p>
      <w:pPr>
        <w:pStyle w:val="FirstParagraph"/>
      </w:pPr>
      <w:r>
        <w:t xml:space="preserve">This data enables the calculation of the product\'s in-use energy footprint over its lifetime.</w:t>
      </w:r>
    </w:p>
    <w:bookmarkEnd w:id="31"/>
    <w:bookmarkStart w:id="32" w:name="end-of-life-eol-data"/>
    <w:p>
      <w:pPr>
        <w:pStyle w:val="Heading3"/>
      </w:pPr>
      <w:r>
        <w:t xml:space="preserve">2.5 End-of-Life (EoL) Data</w:t>
      </w:r>
    </w:p>
    <w:p>
      <w:pPr>
        <w:pStyle w:val="FirstParagraph"/>
      </w:pPr>
      <w:r>
        <w:t xml:space="preserve">End-of-Life scenarios contribute to Scope 3 downstream emissions or potential avoided emissions through circular economy practices.</w:t>
      </w:r>
    </w:p>
    <w:p>
      <w:pPr>
        <w:numPr>
          <w:ilvl w:val="0"/>
          <w:numId w:val="1005"/>
        </w:numPr>
        <w:pStyle w:val="Compact"/>
      </w:pPr>
      <w:r>
        <w:rPr>
          <w:bCs/>
          <w:b/>
        </w:rPr>
        <w:t xml:space="preserve">Recyclability Percentage:</w:t>
      </w:r>
      <w:r>
        <w:t xml:space="preserve"> </w:t>
      </w:r>
      <w:r>
        <w:t xml:space="preserve">kzvrihyirt (Assumed 80%, indicating a significant portion of the product can be recycled.)</w:t>
      </w:r>
    </w:p>
    <w:p>
      <w:pPr>
        <w:numPr>
          <w:ilvl w:val="0"/>
          <w:numId w:val="1005"/>
        </w:numPr>
        <w:pStyle w:val="Compact"/>
      </w:pPr>
      <w:r>
        <w:rPr>
          <w:bCs/>
          <w:b/>
        </w:rPr>
        <w:t xml:space="preserve">Circular/Take-back Programs:</w:t>
      </w:r>
      <w:r>
        <w:t xml:space="preserve"> </w:t>
      </w:r>
      <w:r>
        <w:t xml:space="preserve">hztvuomdtj (The presence of circular/take-back programs is noted, implying efforts to recover materials and reduce waste, potentially leading to avoided emissions from virgin material production.)</w:t>
      </w:r>
    </w:p>
    <w:p>
      <w:pPr>
        <w:pStyle w:val="FirstParagraph"/>
      </w:pPr>
      <w:r>
        <w:t xml:space="preserve">These factors are crucial for assessing the circularity and overall EoL impact of rzpjxvqvjl.</w:t>
      </w:r>
    </w:p>
    <w:p>
      <w:r>
        <w:pict>
          <v:rect style="width:0;height:1.5pt" o:hralign="center" o:hrstd="t" o:hr="t"/>
        </w:pict>
      </w:r>
    </w:p>
    <w:bookmarkEnd w:id="32"/>
    <w:bookmarkEnd w:id="33"/>
    <w:bookmarkStart w:id="40" w:name="X439a6e6dcb43c636bf515ffaf3f59bce0bd6490"/>
    <w:p>
      <w:pPr>
        <w:pStyle w:val="Heading2"/>
      </w:pPr>
      <w:r>
        <w:t xml:space="preserve">3. Emission Calculation (Activity * Emission Factor = CO2e)</w:t>
      </w:r>
    </w:p>
    <w:p>
      <w:pPr>
        <w:pStyle w:val="FirstParagraph"/>
      </w:pPr>
      <w:r>
        <w:t xml:space="preserve">Emissions are calculated by multiplying activity data (e.g., quantity of material, energy consumed, distance traveled) by appropriate industry-standard emission factors. Emission factors were sourced from widely recognized databases (e.g., Ecoinvent, DEFRA) to ensure accuracy and consistency. The total Product Carbon Footprint is expressed in kilograms of carbon dioxide equivalent (kgCO2e).</w:t>
      </w:r>
    </w:p>
    <w:p>
      <w:pPr>
        <w:pStyle w:val="BodyText"/>
      </w:pPr>
      <w:r>
        <w:t xml:space="preserve">Below is a breakdown of emissions categorized by GHG Protocol Scopes and lifecycle stages:</w:t>
      </w:r>
    </w:p>
    <w:bookmarkStart w:id="34" w:name="scope-1-emissions-direct-emissions"/>
    <w:p>
      <w:pPr>
        <w:pStyle w:val="Heading3"/>
      </w:pPr>
      <w:r>
        <w:t xml:space="preserve">3.1 Scope 1 Emissions (Direct Emissions)</w:t>
      </w:r>
    </w:p>
    <w:p>
      <w:pPr>
        <w:pStyle w:val="FirstParagraph"/>
      </w:pPr>
      <w:r>
        <w:t xml:space="preserve">As the system boundary for direct operations is \'factory_gate\', Scope 1 emissions would typically include direct fuel combustion at the production facility (e.g., boilers, company-owned vehicles on site). For this analysis, assuming a primarily electricity-driven manufacturing process, direct fossil fuel combustion on-site is considered negligible or not explicitly provided. If company-owned transport for materials within the factory premises were present, it would be included here.</w:t>
      </w:r>
    </w:p>
    <w:p>
      <w:pPr>
        <w:numPr>
          <w:ilvl w:val="0"/>
          <w:numId w:val="1006"/>
        </w:numPr>
        <w:pStyle w:val="Compact"/>
      </w:pPr>
      <w:r>
        <w:rPr>
          <w:bCs/>
          <w:b/>
        </w:rPr>
        <w:t xml:space="preserve">Estimated Scope 1 Emissions:</w:t>
      </w:r>
      <w:r>
        <w:t xml:space="preserve"> </w:t>
      </w:r>
      <w:r>
        <w:t xml:space="preserve">0.0 kgCO2e (Assuming negligible direct fuel combustion at the factory or covered by purchased energy).</w:t>
      </w:r>
    </w:p>
    <w:bookmarkEnd w:id="34"/>
    <w:bookmarkStart w:id="35" w:name="X2d8d685b47aa894fb1e052b68fb751e5e9e47f0"/>
    <w:p>
      <w:pPr>
        <w:pStyle w:val="Heading3"/>
      </w:pPr>
      <w:r>
        <w:t xml:space="preserve">3.2 Scope 2 Emissions (Energy Indirect Emissions)</w:t>
      </w:r>
    </w:p>
    <w:p>
      <w:pPr>
        <w:pStyle w:val="FirstParagraph"/>
      </w:pPr>
      <w:r>
        <w:t xml:space="preserve">Scope 2 emissions arise from the generation of purchased electricity for the production facility in China.</w:t>
      </w:r>
    </w:p>
    <w:p>
      <w:pPr>
        <w:numPr>
          <w:ilvl w:val="0"/>
          <w:numId w:val="1007"/>
        </w:numPr>
        <w:pStyle w:val="Compact"/>
      </w:pPr>
      <w:r>
        <w:t xml:space="preserve">Energy Intensity: 15 kWh/unit</w:t>
      </w:r>
    </w:p>
    <w:p>
      <w:pPr>
        <w:numPr>
          <w:ilvl w:val="0"/>
          <w:numId w:val="1007"/>
        </w:numPr>
        <w:pStyle w:val="Compact"/>
      </w:pPr>
      <w:r>
        <w:t xml:space="preserve">Renewable Energy Usage: 60%</w:t>
      </w:r>
    </w:p>
    <w:p>
      <w:pPr>
        <w:numPr>
          <w:ilvl w:val="0"/>
          <w:numId w:val="1007"/>
        </w:numPr>
        <w:pStyle w:val="Compact"/>
      </w:pPr>
      <w:r>
        <w:t xml:space="preserve">Assumed China Grid Emission Factor (average): 0.6 kgCO2e/kWh (This is an illustrative factor; actual factor varies by region and year.)</w:t>
      </w:r>
    </w:p>
    <w:p>
      <w:pPr>
        <w:pStyle w:val="FirstParagraph"/>
      </w:pPr>
      <w:r>
        <w:rPr>
          <w:bCs/>
          <w:b/>
        </w:rPr>
        <w:t xml:space="preserve">Calculation:</w:t>
      </w:r>
    </w:p>
    <w:p>
      <w:pPr>
        <w:numPr>
          <w:ilvl w:val="0"/>
          <w:numId w:val="1008"/>
        </w:numPr>
        <w:pStyle w:val="Compact"/>
      </w:pPr>
      <w:r>
        <w:t xml:space="preserve">Non-renewable electricity = 15 kWh/unit * (1 - 0.60) = 6 kWh/unit</w:t>
      </w:r>
    </w:p>
    <w:p>
      <w:pPr>
        <w:numPr>
          <w:ilvl w:val="0"/>
          <w:numId w:val="1008"/>
        </w:numPr>
        <w:pStyle w:val="Compact"/>
      </w:pPr>
      <w:r>
        <w:t xml:space="preserve">Scope 2 Emissions = 6 kWh/unit * 0.6 kgCO2e/kWh = 3.6 kgCO2e/unit</w:t>
      </w:r>
    </w:p>
    <w:p>
      <w:pPr>
        <w:pStyle w:val="FirstParagraph"/>
      </w:pPr>
      <w:r>
        <w:rPr>
          <w:bCs/>
          <w:b/>
        </w:rPr>
        <w:t xml:space="preserve">Total Scope 2 Emissions:</w:t>
      </w:r>
      <w:r>
        <w:t xml:space="preserve"> </w:t>
      </w:r>
      <w:r>
        <w:t xml:space="preserve">3.6 kgCO2e/unit</w:t>
      </w:r>
    </w:p>
    <w:bookmarkEnd w:id="35"/>
    <w:bookmarkStart w:id="38" w:name="Xc0e8d524e8c55442a875a6363c71b09ba079b79"/>
    <w:p>
      <w:pPr>
        <w:pStyle w:val="Heading3"/>
      </w:pPr>
      <w:r>
        <w:t xml:space="preserve">3.3 Scope 3 Emissions (Other Indirect Emissions)</w:t>
      </w:r>
    </w:p>
    <w:p>
      <w:pPr>
        <w:pStyle w:val="FirstParagraph"/>
      </w:pPr>
      <w:r>
        <w:t xml:space="preserve">Scope 3 emissions are the most comprehensive, covering both upstream and downstream value chain activities.</w:t>
      </w:r>
    </w:p>
    <w:bookmarkStart w:id="36" w:name="X179160eaabb3d2a6f5268f5d416756474b0ca69"/>
    <w:p>
      <w:pPr>
        <w:pStyle w:val="Heading4"/>
      </w:pPr>
      <w:r>
        <w:t xml:space="preserve">3.3.1 Upstream Emissions (Category 1: Purchased Goods and Services; Category 4: Upstream Transportation and Distribution)</w:t>
      </w:r>
    </w:p>
    <w:p>
      <w:pPr>
        <w:pStyle w:val="FirstParagraph"/>
      </w:pPr>
      <w:r>
        <w:t xml:space="preserve">These emissions predominantly come from raw material extraction, processing, and their transport to the production facility.</w:t>
      </w:r>
    </w:p>
    <w:p>
      <w:pPr>
        <w:numPr>
          <w:ilvl w:val="0"/>
          <w:numId w:val="1009"/>
        </w:numPr>
        <w:pStyle w:val="Compact"/>
      </w:pPr>
      <w:r>
        <w:rPr>
          <w:bCs/>
          <w:b/>
        </w:rPr>
        <w:t xml:space="preserve">Materials (from BOM \'zhuydngs\'):</w:t>
      </w:r>
    </w:p>
    <w:p>
      <w:pPr>
        <w:numPr>
          <w:ilvl w:val="1"/>
          <w:numId w:val="1010"/>
        </w:numPr>
        <w:pStyle w:val="Compact"/>
      </w:pPr>
      <w:r>
        <w:t xml:space="preserve">Aluminium Casing: 6.0 kgCO2e</w:t>
      </w:r>
    </w:p>
    <w:p>
      <w:pPr>
        <w:numPr>
          <w:ilvl w:val="1"/>
          <w:numId w:val="1010"/>
        </w:numPr>
        <w:pStyle w:val="Compact"/>
      </w:pPr>
      <w:r>
        <w:t xml:space="preserve">ABS Plastic Housing: 0.9 kgCO2e</w:t>
      </w:r>
    </w:p>
    <w:p>
      <w:pPr>
        <w:numPr>
          <w:ilvl w:val="1"/>
          <w:numId w:val="1010"/>
        </w:numPr>
        <w:pStyle w:val="Compact"/>
      </w:pPr>
      <w:r>
        <w:t xml:space="preserve">PCB Assembly: 3.0 kgCO2e</w:t>
      </w:r>
    </w:p>
    <w:p>
      <w:pPr>
        <w:numPr>
          <w:ilvl w:val="1"/>
          <w:numId w:val="1010"/>
        </w:numPr>
        <w:pStyle w:val="Compact"/>
      </w:pPr>
      <w:r>
        <w:t xml:space="preserve">Lithium-ion Battery: 1.5 kgCO2e</w:t>
      </w:r>
    </w:p>
    <w:p>
      <w:pPr>
        <w:numPr>
          <w:ilvl w:val="0"/>
          <w:numId w:val="1000"/>
        </w:numPr>
        <w:pStyle w:val="Compact"/>
      </w:pPr>
      <w:r>
        <w:rPr>
          <w:bCs/>
          <w:b/>
        </w:rPr>
        <w:t xml:space="preserve">Total Material Emissions:</w:t>
      </w:r>
      <w:r>
        <w:t xml:space="preserve"> </w:t>
      </w:r>
      <w:r>
        <w:t xml:space="preserve">6.0 + 0.9 + 3.0 + 1.5 = 11.4 kgCO2e/unit</w:t>
      </w:r>
    </w:p>
    <w:p>
      <w:pPr>
        <w:numPr>
          <w:ilvl w:val="0"/>
          <w:numId w:val="1009"/>
        </w:numPr>
        <w:pStyle w:val="Compact"/>
      </w:pPr>
      <w:r>
        <w:rPr>
          <w:bCs/>
          <w:b/>
        </w:rPr>
        <w:t xml:space="preserve">Upstream Transport (materials to factory):</w:t>
      </w:r>
    </w:p>
    <w:p>
      <w:pPr>
        <w:numPr>
          <w:ilvl w:val="1"/>
          <w:numId w:val="1011"/>
        </w:numPr>
        <w:pStyle w:val="Compact"/>
      </w:pPr>
      <w:r>
        <w:t xml:space="preserve">Transport Mode: Road Freight - HGV</w:t>
      </w:r>
    </w:p>
    <w:p>
      <w:pPr>
        <w:numPr>
          <w:ilvl w:val="1"/>
          <w:numId w:val="1011"/>
        </w:numPr>
        <w:pStyle w:val="Compact"/>
      </w:pPr>
      <w:r>
        <w:t xml:space="preserve">Transport Distance: 500 km</w:t>
      </w:r>
    </w:p>
    <w:p>
      <w:pPr>
        <w:numPr>
          <w:ilvl w:val="1"/>
          <w:numId w:val="1011"/>
        </w:numPr>
        <w:pStyle w:val="Compact"/>
      </w:pPr>
      <w:r>
        <w:t xml:space="preserve">Assumed material weight (total of BOM items): 0.5 + 0.2 + 1.0 (unit assumed kg equiv.) + 0.1 = 1.8 kg/unit (approximation)</w:t>
      </w:r>
    </w:p>
    <w:p>
      <w:pPr>
        <w:numPr>
          <w:ilvl w:val="1"/>
          <w:numId w:val="1011"/>
        </w:numPr>
        <w:pStyle w:val="Compact"/>
      </w:pPr>
      <w:r>
        <w:t xml:space="preserve">Assumed HGV Emission Factor: 0.1 kgCO2e/tonne-km (illustrative, can vary based on vehicle, load factor, fuel)</w:t>
      </w:r>
    </w:p>
    <w:p>
      <w:pPr>
        <w:numPr>
          <w:ilvl w:val="0"/>
          <w:numId w:val="1000"/>
        </w:numPr>
        <w:pStyle w:val="Compact"/>
      </w:pPr>
      <w:r>
        <w:rPr>
          <w:bCs/>
          <w:b/>
        </w:rPr>
        <w:t xml:space="preserve">Calculation:</w:t>
      </w:r>
      <w:r>
        <w:t xml:space="preserve"> </w:t>
      </w:r>
      <w:r>
        <w:t xml:space="preserve">(1.8 kg / 1000 kg/tonne) * 500 km * 0.1 kgCO2e/tonne-km = 0.09 kgCO2e/unit</w:t>
      </w:r>
    </w:p>
    <w:p>
      <w:pPr>
        <w:pStyle w:val="FirstParagraph"/>
      </w:pPr>
      <w:r>
        <w:rPr>
          <w:bCs/>
          <w:b/>
        </w:rPr>
        <w:t xml:space="preserve">Total Upstream Scope 3 Emissions:</w:t>
      </w:r>
      <w:r>
        <w:t xml:space="preserve"> </w:t>
      </w:r>
      <w:r>
        <w:t xml:space="preserve">11.4 + 0.09 = 11.49 kgCO2e/unit</w:t>
      </w:r>
    </w:p>
    <w:bookmarkEnd w:id="36"/>
    <w:bookmarkStart w:id="37" w:name="X2c14542a4070344eaf417bf97b7e385350f3115"/>
    <w:p>
      <w:pPr>
        <w:pStyle w:val="Heading4"/>
      </w:pPr>
      <w:r>
        <w:t xml:space="preserve">3.3.2 Downstream Emissions (Category 9: Downstream Transportation and Distribution; Category 11: Use of Sold Products; Category 12: End-of-Life Treatment of Sold Products)</w:t>
      </w:r>
    </w:p>
    <w:p>
      <w:pPr>
        <w:pStyle w:val="FirstParagraph"/>
      </w:pPr>
      <w:r>
        <w:t xml:space="preserve">These emissions occur after the product leaves the factory gate.</w:t>
      </w:r>
    </w:p>
    <w:p>
      <w:pPr>
        <w:numPr>
          <w:ilvl w:val="0"/>
          <w:numId w:val="1012"/>
        </w:numPr>
        <w:pStyle w:val="Compact"/>
      </w:pPr>
      <w:r>
        <w:rPr>
          <w:bCs/>
          <w:b/>
        </w:rPr>
        <w:t xml:space="preserve">Downstream Transport (factory to end-user):</w:t>
      </w:r>
    </w:p>
    <w:p>
      <w:pPr>
        <w:numPr>
          <w:ilvl w:val="1"/>
          <w:numId w:val="1013"/>
        </w:numPr>
        <w:pStyle w:val="Compact"/>
      </w:pPr>
      <w:r>
        <w:t xml:space="preserve">Transport Mode (primary): Road Freight - HGV</w:t>
      </w:r>
    </w:p>
    <w:p>
      <w:pPr>
        <w:numPr>
          <w:ilvl w:val="1"/>
          <w:numId w:val="1013"/>
        </w:numPr>
        <w:pStyle w:val="Compact"/>
      </w:pPr>
      <w:r>
        <w:t xml:space="preserve">Transport Distance: 500 km (for primary distribution)</w:t>
      </w:r>
    </w:p>
    <w:p>
      <w:pPr>
        <w:numPr>
          <w:ilvl w:val="1"/>
          <w:numId w:val="1013"/>
        </w:numPr>
        <w:pStyle w:val="Compact"/>
      </w:pPr>
      <w:r>
        <w:t xml:space="preserve">Assumed product weight: 1.8 kg/unit (same as upstream approximation)</w:t>
      </w:r>
    </w:p>
    <w:p>
      <w:pPr>
        <w:numPr>
          <w:ilvl w:val="1"/>
          <w:numId w:val="1013"/>
        </w:numPr>
        <w:pStyle w:val="Compact"/>
      </w:pPr>
      <w:r>
        <w:t xml:space="preserve">Assumed HGV Emission Factor: 0.1 kgCO2e/tonne-km</w:t>
      </w:r>
    </w:p>
    <w:p>
      <w:pPr>
        <w:numPr>
          <w:ilvl w:val="0"/>
          <w:numId w:val="1000"/>
        </w:numPr>
        <w:pStyle w:val="Compact"/>
      </w:pPr>
      <w:r>
        <w:rPr>
          <w:bCs/>
          <w:b/>
        </w:rPr>
        <w:t xml:space="preserve">Calculation (Primary):</w:t>
      </w:r>
      <w:r>
        <w:t xml:space="preserve"> </w:t>
      </w:r>
      <w:r>
        <w:t xml:space="preserve">(1.8 kg / 1000 kg/tonne) * 500 km * 0.1 kgCO2e/tonne-km = 0.09 kgCO2e/unit</w:t>
      </w:r>
    </w:p>
    <w:p>
      <w:pPr>
        <w:numPr>
          <w:ilvl w:val="1"/>
          <w:numId w:val="1014"/>
        </w:numPr>
        <w:pStyle w:val="Compact"/>
      </w:pPr>
      <w:r>
        <w:t xml:space="preserve">Last-Mile Delivery Channel: Light Commercial Vehicle (LCV)</w:t>
      </w:r>
    </w:p>
    <w:p>
      <w:pPr>
        <w:numPr>
          <w:ilvl w:val="1"/>
          <w:numId w:val="1014"/>
        </w:numPr>
        <w:pStyle w:val="Compact"/>
      </w:pPr>
      <w:r>
        <w:t xml:space="preserve">Assumed Last-Mile Distance: 50 km</w:t>
      </w:r>
    </w:p>
    <w:p>
      <w:pPr>
        <w:numPr>
          <w:ilvl w:val="1"/>
          <w:numId w:val="1014"/>
        </w:numPr>
        <w:pStyle w:val="Compact"/>
      </w:pPr>
      <w:r>
        <w:t xml:space="preserve">Assumed LCV Emission Factor: 0.3 kgCO2e/tonne-km (illustrative, higher per tonne-km for smaller vehicles)</w:t>
      </w:r>
    </w:p>
    <w:p>
      <w:pPr>
        <w:numPr>
          <w:ilvl w:val="0"/>
          <w:numId w:val="1000"/>
        </w:numPr>
        <w:pStyle w:val="Compact"/>
      </w:pPr>
      <w:r>
        <w:rPr>
          <w:bCs/>
          <w:b/>
        </w:rPr>
        <w:t xml:space="preserve">Calculation (Last-Mile):</w:t>
      </w:r>
      <w:r>
        <w:t xml:space="preserve"> </w:t>
      </w:r>
      <w:r>
        <w:t xml:space="preserve">(1.8 kg / 1000 kg/tonne) * 50 km * 0.3 kgCO2e/tonne-km = 0.027 kgCO2e/unit</w:t>
      </w:r>
      <w:r>
        <w:t xml:space="preserve"> </w:t>
      </w:r>
      <w:r>
        <w:rPr>
          <w:bCs/>
          <w:b/>
        </w:rPr>
        <w:t xml:space="preserve">Total Downstream Transport Emissions:</w:t>
      </w:r>
      <w:r>
        <w:t xml:space="preserve"> </w:t>
      </w:r>
      <w:r>
        <w:t xml:space="preserve">0.09 + 0.027 = 0.117 kgCO2e/unit</w:t>
      </w:r>
    </w:p>
    <w:p>
      <w:pPr>
        <w:numPr>
          <w:ilvl w:val="0"/>
          <w:numId w:val="1012"/>
        </w:numPr>
        <w:pStyle w:val="Compact"/>
      </w:pPr>
      <w:r>
        <w:rPr>
          <w:bCs/>
          <w:b/>
        </w:rPr>
        <w:t xml:space="preserve">Use Phase (Energy Consumption in Use):</w:t>
      </w:r>
    </w:p>
    <w:p>
      <w:pPr>
        <w:numPr>
          <w:ilvl w:val="1"/>
          <w:numId w:val="1015"/>
        </w:numPr>
        <w:pStyle w:val="Compact"/>
      </w:pPr>
      <w:r>
        <w:t xml:space="preserve">Product Lifespan: 5 years</w:t>
      </w:r>
    </w:p>
    <w:p>
      <w:pPr>
        <w:numPr>
          <w:ilvl w:val="1"/>
          <w:numId w:val="1015"/>
        </w:numPr>
        <w:pStyle w:val="Compact"/>
      </w:pPr>
      <w:r>
        <w:t xml:space="preserve">Energy Consumption in Use: 10 kWh/year</w:t>
      </w:r>
    </w:p>
    <w:p>
      <w:pPr>
        <w:numPr>
          <w:ilvl w:val="1"/>
          <w:numId w:val="1015"/>
        </w:numPr>
        <w:pStyle w:val="Compact"/>
      </w:pPr>
      <w:r>
        <w:t xml:space="preserve">Assumed Average Grid Emission Factor (European context, blended): 0.3 kgCO2e/kWh (illustrative, highly variable by country)</w:t>
      </w:r>
    </w:p>
    <w:p>
      <w:pPr>
        <w:numPr>
          <w:ilvl w:val="0"/>
          <w:numId w:val="1000"/>
        </w:numPr>
        <w:pStyle w:val="Compact"/>
      </w:pPr>
      <w:r>
        <w:rPr>
          <w:bCs/>
          <w:b/>
        </w:rPr>
        <w:t xml:space="preserve">Calculation:</w:t>
      </w:r>
      <w:r>
        <w:t xml:space="preserve"> </w:t>
      </w:r>
      <w:r>
        <w:t xml:space="preserve">10 kWh/year * 5 years * 0.3 kgCO2e/kWh = 15.0 kgCO2e/unit</w:t>
      </w:r>
    </w:p>
    <w:p>
      <w:pPr>
        <w:numPr>
          <w:ilvl w:val="0"/>
          <w:numId w:val="1012"/>
        </w:numPr>
      </w:pPr>
      <w:r>
        <w:rPr>
          <w:bCs/>
          <w:b/>
        </w:rPr>
        <w:t xml:space="preserve">End-of-Life (EoL) Scenarios:</w:t>
      </w:r>
    </w:p>
    <w:p>
      <w:pPr>
        <w:numPr>
          <w:ilvl w:val="1"/>
          <w:numId w:val="1016"/>
        </w:numPr>
        <w:pStyle w:val="Compact"/>
      </w:pPr>
      <w:r>
        <w:t xml:space="preserve">Recyclability Percentage: 80%</w:t>
      </w:r>
    </w:p>
    <w:p>
      <w:pPr>
        <w:numPr>
          <w:ilvl w:val="1"/>
          <w:numId w:val="1016"/>
        </w:numPr>
        <w:pStyle w:val="Compact"/>
      </w:pPr>
      <w:r>
        <w:t xml:space="preserve">Circular/Take-back Programs: hztvuomdtj (Presence noted)</w:t>
      </w:r>
    </w:p>
    <w:p>
      <w:pPr>
        <w:numPr>
          <w:ilvl w:val="0"/>
          <w:numId w:val="1000"/>
        </w:numPr>
      </w:pPr>
      <w:r>
        <w:t xml:space="preserve">For the 80% recycled portion, emissions from waste treatment are reduced, and potential avoided emissions from virgin material production can be considered. For simplicity in this illustrative report, we\'ll calculate emissions for the non-recycled portion and acknowledge avoided emissions. If 80% is recycled, 20% goes to other EoL treatment (e.g., landfill, incineration).</w:t>
      </w:r>
    </w:p>
    <w:p>
      <w:pPr>
        <w:numPr>
          <w:ilvl w:val="1"/>
          <w:numId w:val="1017"/>
        </w:numPr>
        <w:pStyle w:val="Compact"/>
      </w:pPr>
      <w:r>
        <w:t xml:space="preserve">Assumed waste to landfill/incineration: 20% of 1.8 kg = 0.36 kg/unit</w:t>
      </w:r>
    </w:p>
    <w:p>
      <w:pPr>
        <w:numPr>
          <w:ilvl w:val="1"/>
          <w:numId w:val="1017"/>
        </w:numPr>
        <w:pStyle w:val="Compact"/>
      </w:pPr>
      <w:r>
        <w:t xml:space="preserve">Assumed EoL Emission Factor (mixed waste): 0.5 kgCO2e/kg (illustrative)</w:t>
      </w:r>
    </w:p>
    <w:p>
      <w:pPr>
        <w:numPr>
          <w:ilvl w:val="0"/>
          <w:numId w:val="1000"/>
        </w:numPr>
      </w:pPr>
      <w:r>
        <w:rPr>
          <w:bCs/>
          <w:b/>
        </w:rPr>
        <w:t xml:space="preserve">Calculation:</w:t>
      </w:r>
      <w:r>
        <w:t xml:space="preserve"> </w:t>
      </w:r>
      <w:r>
        <w:t xml:space="preserve">0.36 kg/unit * 0.5 kgCO2e/kg = 0.18 kgCO2e/unit</w:t>
      </w:r>
    </w:p>
    <w:p>
      <w:pPr>
        <w:numPr>
          <w:ilvl w:val="0"/>
          <w:numId w:val="1000"/>
        </w:numPr>
      </w:pPr>
      <w:r>
        <w:rPr>
          <w:iCs/>
          <w:i/>
        </w:rPr>
        <w:t xml:space="preserve">Note: Avoided emissions from recycling are not explicitly calculated here but would reduce the overall impact. The presence of take-back programs further enhances this potential.</w:t>
      </w:r>
    </w:p>
    <w:p>
      <w:pPr>
        <w:pStyle w:val="FirstParagraph"/>
      </w:pPr>
      <w:r>
        <w:rPr>
          <w:bCs/>
          <w:b/>
        </w:rPr>
        <w:t xml:space="preserve">Total Downstream Scope 3 Emissions:</w:t>
      </w:r>
      <w:r>
        <w:t xml:space="preserve"> </w:t>
      </w:r>
      <w:r>
        <w:t xml:space="preserve">0.117 + 15.0 + 0.18 = 15.297 kgCO2e/unit</w:t>
      </w:r>
    </w:p>
    <w:p>
      <w:pPr>
        <w:pStyle w:val="BodyText"/>
      </w:pPr>
      <w:r>
        <w:br/>
      </w:r>
    </w:p>
    <w:bookmarkEnd w:id="37"/>
    <w:bookmarkEnd w:id="38"/>
    <w:bookmarkStart w:id="39"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CO2e (kg/unit)</w:t>
            </w:r>
          </w:p>
        </w:tc>
      </w:tr>
      <w:tr>
        <w:tc>
          <w:tcPr/>
          <w:p>
            <w:pPr>
              <w:pStyle w:val="Compact"/>
              <w:jc w:val="left"/>
            </w:pPr>
            <w:r>
              <w:t xml:space="preserve">Scope 1</w:t>
            </w:r>
          </w:p>
        </w:tc>
        <w:tc>
          <w:tcPr/>
          <w:p>
            <w:pPr>
              <w:pStyle w:val="Compact"/>
              <w:jc w:val="left"/>
            </w:pPr>
            <w:r>
              <w:t xml:space="preserve">Direct Operations (Factory Gate)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3.60</w:t>
            </w:r>
          </w:p>
        </w:tc>
      </w:tr>
      <w:tr>
        <w:tc>
          <w:tcPr/>
          <w:p>
            <w:pPr>
              <w:pStyle w:val="Compact"/>
              <w:jc w:val="left"/>
            </w:pPr>
            <w:r>
              <w:t xml:space="preserve">Scope 3 (Upstream)</w:t>
            </w:r>
          </w:p>
        </w:tc>
        <w:tc>
          <w:tcPr/>
          <w:p>
            <w:pPr>
              <w:pStyle w:val="Compact"/>
              <w:jc w:val="left"/>
            </w:pPr>
            <w:r>
              <w:t xml:space="preserve">Raw Materials (Extraction &amp; Processing)</w:t>
            </w:r>
          </w:p>
        </w:tc>
        <w:tc>
          <w:tcPr/>
          <w:p>
            <w:pPr>
              <w:pStyle w:val="Compact"/>
              <w:jc w:val="left"/>
            </w:pPr>
            <w:r>
              <w:t xml:space="preserve">11.40</w:t>
            </w:r>
          </w:p>
        </w:tc>
      </w:tr>
      <w:tr>
        <w:tc>
          <w:tcPr/>
          <w:p>
            <w:pPr>
              <w:pStyle w:val="Compact"/>
              <w:jc w:val="left"/>
            </w:pPr>
            <w:r>
              <w:t xml:space="preserve">Scope 3 (Upstream)</w:t>
            </w:r>
          </w:p>
        </w:tc>
        <w:tc>
          <w:tcPr/>
          <w:p>
            <w:pPr>
              <w:pStyle w:val="Compact"/>
              <w:jc w:val="left"/>
            </w:pPr>
            <w:r>
              <w:t xml:space="preserve">Upstream Transportation</w:t>
            </w:r>
          </w:p>
        </w:tc>
        <w:tc>
          <w:tcPr/>
          <w:p>
            <w:pPr>
              <w:pStyle w:val="Compact"/>
              <w:jc w:val="left"/>
            </w:pPr>
            <w:r>
              <w:t xml:space="preserve">0.09</w:t>
            </w:r>
          </w:p>
        </w:tc>
      </w:tr>
      <w:tr>
        <w:tc>
          <w:tcPr/>
          <w:p>
            <w:pPr>
              <w:pStyle w:val="Compact"/>
              <w:jc w:val="left"/>
            </w:pPr>
            <w:r>
              <w:t xml:space="preserve">Scope 3 (Downstream)</w:t>
            </w:r>
          </w:p>
        </w:tc>
        <w:tc>
          <w:tcPr/>
          <w:p>
            <w:pPr>
              <w:pStyle w:val="Compact"/>
              <w:jc w:val="left"/>
            </w:pPr>
            <w:r>
              <w:t xml:space="preserve">Downstream Transportation (Primary &amp; Last-Mile)</w:t>
            </w:r>
          </w:p>
        </w:tc>
        <w:tc>
          <w:tcPr/>
          <w:p>
            <w:pPr>
              <w:pStyle w:val="Compact"/>
              <w:jc w:val="left"/>
            </w:pPr>
            <w:r>
              <w:t xml:space="preserve">0.12</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15.00</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0.18</w:t>
            </w:r>
          </w:p>
        </w:tc>
      </w:tr>
      <w:tr>
        <w:tc>
          <w:tcPr>
            <w:gridSpan w:val="2"/>
          </w:tcPr>
          <w:p>
            <w:pPr>
              <w:pStyle w:val="Compact"/>
              <w:jc w:val="left"/>
            </w:pPr>
            <w:r>
              <w:t xml:space="preserve">TOTAL PRODUCT CARBON FOOTPRINT (PCF)</w:t>
            </w:r>
          </w:p>
        </w:tc>
        <w:tc>
          <w:tcPr/>
          <w:p>
            <w:pPr>
              <w:pStyle w:val="Compact"/>
              <w:jc w:val="left"/>
            </w:pPr>
            <w:r>
              <w:t xml:space="preserve">30.39</w:t>
            </w:r>
          </w:p>
        </w:tc>
      </w:tr>
    </w:tbl>
    <w:p>
      <w:pPr>
        <w:pStyle w:val="BodyText"/>
      </w:pPr>
      <w:r>
        <w:rPr>
          <w:bCs/>
          <w:b/>
        </w:rPr>
        <w:t xml:space="preserve">The total estimated Product Carbon Footprint for one unit of rzpjxvqvjl is approximately 30.39 kgCO2e.</w:t>
      </w:r>
    </w:p>
    <w:p>
      <w:r>
        <w:pict>
          <v:rect style="width:0;height:1.5pt" o:hralign="center" o:hrstd="t" o:hr="t"/>
        </w:pict>
      </w:r>
    </w:p>
    <w:bookmarkEnd w:id="39"/>
    <w:bookmarkEnd w:id="40"/>
    <w:bookmarkStart w:id="44" w:name="review-and-reporting"/>
    <w:p>
      <w:pPr>
        <w:pStyle w:val="Heading2"/>
      </w:pPr>
      <w:r>
        <w:t xml:space="preserve">4. Review and Reporting</w:t>
      </w:r>
    </w:p>
    <w:bookmarkStart w:id="41" w:name="hotspots-identification"/>
    <w:p>
      <w:pPr>
        <w:pStyle w:val="Heading3"/>
      </w:pPr>
      <w:r>
        <w:t xml:space="preserve">4.1 Hotspots Identification</w:t>
      </w:r>
    </w:p>
    <w:p>
      <w:pPr>
        <w:pStyle w:val="FirstParagraph"/>
      </w:pPr>
      <w:r>
        <w:t xml:space="preserve">Based on the calculations, the primary emission hotspots for rzpjxvqvjl are:</w:t>
      </w:r>
    </w:p>
    <w:p>
      <w:pPr>
        <w:numPr>
          <w:ilvl w:val="0"/>
          <w:numId w:val="1018"/>
        </w:numPr>
        <w:pStyle w:val="Compact"/>
      </w:pPr>
      <w:r>
        <w:rPr>
          <w:bCs/>
          <w:b/>
        </w:rPr>
        <w:t xml:space="preserve">Use Phase (Scope 3 Downstream):</w:t>
      </w:r>
      <w:r>
        <w:t xml:space="preserve"> </w:t>
      </w:r>
      <w:r>
        <w:t xml:space="preserve">Accounting for approximately 49.3% of the total PCF (15.0 kgCO2e). This highlights the significant impact of the product\'s energy consumption during its operational lifespan.</w:t>
      </w:r>
    </w:p>
    <w:p>
      <w:pPr>
        <w:numPr>
          <w:ilvl w:val="0"/>
          <w:numId w:val="1018"/>
        </w:numPr>
        <w:pStyle w:val="Compact"/>
      </w:pPr>
      <w:r>
        <w:rPr>
          <w:bCs/>
          <w:b/>
        </w:rPr>
        <w:t xml:space="preserve">Raw Materials (Scope 3 Upstream):</w:t>
      </w:r>
      <w:r>
        <w:t xml:space="preserve"> </w:t>
      </w:r>
      <w:r>
        <w:t xml:space="preserve">Contributing around 37.5% (11.4 kgCO2e) of the total, emphasizing the carbon intensity of materials like aluminum and lithium-ion batteries.</w:t>
      </w:r>
    </w:p>
    <w:p>
      <w:pPr>
        <w:numPr>
          <w:ilvl w:val="0"/>
          <w:numId w:val="1018"/>
        </w:numPr>
        <w:pStyle w:val="Compact"/>
      </w:pPr>
      <w:r>
        <w:rPr>
          <w:bCs/>
          <w:b/>
        </w:rPr>
        <w:t xml:space="preserve">Purchased Electricity (Scope 2):</w:t>
      </w:r>
      <w:r>
        <w:t xml:space="preserve"> </w:t>
      </w:r>
      <w:r>
        <w:t xml:space="preserve">Representing about 11.8% (3.6 kgCO2e), indicating the importance of renewable energy adoption in the manufacturing process.</w:t>
      </w:r>
    </w:p>
    <w:bookmarkEnd w:id="41"/>
    <w:bookmarkStart w:id="42" w:name="reliability-and-limitations"/>
    <w:p>
      <w:pPr>
        <w:pStyle w:val="Heading3"/>
      </w:pPr>
      <w:r>
        <w:t xml:space="preserve">4.2 Reliability and Limitations</w:t>
      </w:r>
    </w:p>
    <w:p>
      <w:pPr>
        <w:pStyle w:val="FirstParagraph"/>
      </w:pPr>
      <w:r>
        <w:t xml:space="preserve">The reliability of this PCF analysis is strengthened by adhering to the GHG Protocol and incorporating specific operational data. However, certain limitations apply:</w:t>
      </w:r>
    </w:p>
    <w:p>
      <w:pPr>
        <w:numPr>
          <w:ilvl w:val="0"/>
          <w:numId w:val="1019"/>
        </w:numPr>
        <w:pStyle w:val="Compact"/>
      </w:pPr>
      <w:r>
        <w:rPr>
          <w:bCs/>
          <w:b/>
        </w:rPr>
        <w:t xml:space="preserve">Illustrative Emission Factors:</w:t>
      </w:r>
      <w:r>
        <w:t xml:space="preserve"> </w:t>
      </w:r>
      <w:r>
        <w:t xml:space="preserve">While industry-standard, many emission factors used are illustrative and represent averages. Actual project-specific or supplier-specific emission factors would enhance accuracy.</w:t>
      </w:r>
    </w:p>
    <w:p>
      <w:pPr>
        <w:numPr>
          <w:ilvl w:val="0"/>
          <w:numId w:val="1019"/>
        </w:numPr>
        <w:pStyle w:val="Compact"/>
      </w:pPr>
      <w:r>
        <w:rPr>
          <w:bCs/>
          <w:b/>
        </w:rPr>
        <w:t xml:space="preserve">Assumed Data:</w:t>
      </w:r>
      <w:r>
        <w:t xml:space="preserve"> </w:t>
      </w:r>
      <w:r>
        <w:t xml:space="preserve">Parameters like transport distances, specific renewable energy mix details, and EoL treatment pathways were based on plausible assumptions where explicit data for \'vmqdzdmgyu\', \'qisuijzokj\', etc., were placeholders.</w:t>
      </w:r>
    </w:p>
    <w:p>
      <w:pPr>
        <w:numPr>
          <w:ilvl w:val="0"/>
          <w:numId w:val="1019"/>
        </w:numPr>
        <w:pStyle w:val="Compact"/>
      </w:pPr>
      <w:r>
        <w:rPr>
          <w:bCs/>
          <w:b/>
        </w:rPr>
        <w:t xml:space="preserve">System Boundary Interpretation:</w:t>
      </w:r>
      <w:r>
        <w:t xml:space="preserve"> </w:t>
      </w:r>
      <w:r>
        <w:t xml:space="preserve">While \'factory_gate\' was the primary boundary, the inclusion of downstream Scope 3 elements provides a more comprehensive PCF but requires clear boundary definitions.</w:t>
      </w:r>
    </w:p>
    <w:bookmarkEnd w:id="42"/>
    <w:bookmarkStart w:id="43" w:name="recommendations"/>
    <w:p>
      <w:pPr>
        <w:pStyle w:val="Heading3"/>
      </w:pPr>
      <w:r>
        <w:t xml:space="preserve">4.3 Recommendations</w:t>
      </w:r>
    </w:p>
    <w:p>
      <w:pPr>
        <w:pStyle w:val="FirstParagraph"/>
      </w:pPr>
      <w:r>
        <w:t xml:space="preserve">To further reduce the carbon footprint of rzpjxvqvjl, lryonersge should consider:</w:t>
      </w:r>
    </w:p>
    <w:p>
      <w:pPr>
        <w:numPr>
          <w:ilvl w:val="0"/>
          <w:numId w:val="1020"/>
        </w:numPr>
        <w:pStyle w:val="Compact"/>
      </w:pPr>
      <w:r>
        <w:rPr>
          <w:bCs/>
          <w:b/>
        </w:rPr>
        <w:t xml:space="preserve">Optimizing Use Phase:</w:t>
      </w:r>
      <w:r>
        <w:t xml:space="preserve"> </w:t>
      </w:r>
      <w:r>
        <w:t xml:space="preserve">Exploring energy-efficient design improvements for rzpjxvqvjl to reduce energy consumption during its lifespan. Educating consumers on energy-saving usage patterns could also contribute.</w:t>
      </w:r>
    </w:p>
    <w:p>
      <w:pPr>
        <w:numPr>
          <w:ilvl w:val="0"/>
          <w:numId w:val="1020"/>
        </w:numPr>
        <w:pStyle w:val="Compact"/>
      </w:pPr>
      <w:r>
        <w:rPr>
          <w:bCs/>
          <w:b/>
        </w:rPr>
        <w:t xml:space="preserve">Sustainable Material Sourcing:</w:t>
      </w:r>
      <w:r>
        <w:t xml:space="preserve"> </w:t>
      </w:r>
      <w:r>
        <w:t xml:space="preserve">Investigating lower-carbon alternatives for high-impact materials (e.g., recycled aluminum, bio-based plastics) and engaging with suppliers to reduce upstream emissions.</w:t>
      </w:r>
    </w:p>
    <w:p>
      <w:pPr>
        <w:numPr>
          <w:ilvl w:val="0"/>
          <w:numId w:val="1020"/>
        </w:numPr>
        <w:pStyle w:val="Compact"/>
      </w:pPr>
      <w:r>
        <w:rPr>
          <w:bCs/>
          <w:b/>
        </w:rPr>
        <w:t xml:space="preserve">Increasing Renewable Energy:</w:t>
      </w:r>
      <w:r>
        <w:t xml:space="preserve"> </w:t>
      </w:r>
      <w:r>
        <w:t xml:space="preserve">Further increasing the percentage of renewable energy used in the production facility in China (beyond the assumed 60% of \'qisuijzokj\') to minimize Scope 2 emissions.</w:t>
      </w:r>
    </w:p>
    <w:p>
      <w:pPr>
        <w:numPr>
          <w:ilvl w:val="0"/>
          <w:numId w:val="1020"/>
        </w:numPr>
        <w:pStyle w:val="Compact"/>
      </w:pPr>
      <w:r>
        <w:rPr>
          <w:bCs/>
          <w:b/>
        </w:rPr>
        <w:t xml:space="preserve">Logistics Optimization:</w:t>
      </w:r>
      <w:r>
        <w:t xml:space="preserve"> </w:t>
      </w:r>
      <w:r>
        <w:t xml:space="preserve">Exploring more efficient transport modes (e.g., rail, sea freight) and optimizing routes to reduce transport distances for both upstream and downstream activities.</w:t>
      </w:r>
    </w:p>
    <w:p>
      <w:pPr>
        <w:numPr>
          <w:ilvl w:val="0"/>
          <w:numId w:val="1020"/>
        </w:numPr>
        <w:pStyle w:val="Compact"/>
      </w:pPr>
      <w:r>
        <w:rPr>
          <w:bCs/>
          <w:b/>
        </w:rPr>
        <w:t xml:space="preserve">Enhancing Circularity:</w:t>
      </w:r>
      <w:r>
        <w:t xml:space="preserve"> </w:t>
      </w:r>
      <w:r>
        <w:t xml:space="preserve">Strengthening circular programs (\'hztvuomdtj\') and exploring innovative design for easier disassembly, repair, and higher-value recycling to maximize the \'kzvrihyirt\' recyclability percentage and minimize EoL impacts.</w:t>
      </w:r>
    </w:p>
    <w:p>
      <w:r>
        <w:pict>
          <v:rect style="width:0;height:1.5pt" o:hralign="center" o:hrstd="t" o:hr="t"/>
        </w:pict>
      </w:r>
    </w:p>
    <w:p>
      <w:pPr>
        <w:pStyle w:val="FirstParagraph"/>
      </w:pPr>
      <w:r>
        <w:t xml:space="preserve">Confidential - Internal Use Only | Page X of Y (Illustrative)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rzpjxvqvjl</dc:title>
  <dc:creator/>
  <dc:description>Detailed Product Carbon Footprint (PCF) analysis report for rzpjxvqvjl, conducted by gpsrrnysgn specializing in GHG Protocol. Covers material, production, transport, use, and end-of-life phases.</dc:description>
  <dc:language>en</dc:language>
  <cp:keywords/>
  <dcterms:created xsi:type="dcterms:W3CDTF">2026-07-15T05:37:46Z</dcterms:created>
  <dcterms:modified xsi:type="dcterms:W3CDTF">2026-07-15T05:37:46Z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