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rwovjvjuzu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rwovjvjuzu</w:t>
      </w:r>
    </w:p>
    <w:p>
      <w:pPr>
        <w:pStyle w:val="BodyText"/>
      </w:pPr>
      <w:r>
        <w:rPr>
          <w:bCs/>
          <w:b/>
        </w:rPr>
        <w:t xml:space="preserve">Company Name:</w:t>
      </w:r>
      <w:r>
        <w:t xml:space="preserve"> </w:t>
      </w:r>
      <w:r>
        <w:t xml:space="preserve">hofrmrmnzh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zksmkzvwvv</w:t>
      </w:r>
    </w:p>
    <w:p>
      <w:pPr>
        <w:pStyle w:val="BodyText"/>
      </w:pPr>
      <w:r>
        <w:rPr>
          <w:bCs/>
          <w:b/>
        </w:rPr>
        <w:t xml:space="preserve">Generated Date:</w:t>
      </w:r>
      <w:r>
        <w:t xml:space="preserve"> </w:t>
      </w:r>
      <w:r>
        <w:t xml:space="preserve">June 03, 2026</w:t>
      </w:r>
    </w:p>
    <w:bookmarkEnd w:id="20"/>
    <w:p>
      <w:pPr>
        <w:pStyle w:val="BodyText"/>
      </w:pPr>
      <w:r>
        <w:rPr>
          <w:iCs/>
          <w:i/>
        </w:rPr>
        <w:t xml:space="preserve">Disclaimer: This report is generated based on available data and industry standards. While efforts have been made to ensure accuracy, actual emissions may vary due to specific operational nuances and evolving data.</w:t>
      </w:r>
    </w:p>
    <w:bookmarkStart w:id="49" w:name="Xf9c5cafad2e5ae1d8cd83f016c142b245cccbf9"/>
    <w:p>
      <w:pPr>
        <w:pStyle w:val="Heading1"/>
      </w:pPr>
      <w:r>
        <w:t xml:space="preserve">Product Carbon Footprint Analysis Report for rwovjvjuzu</w:t>
      </w:r>
    </w:p>
    <w:p>
      <w:pPr>
        <w:pStyle w:val="FirstParagraph"/>
      </w:pPr>
      <w:r>
        <w:rPr>
          <w:bCs/>
          <w:b/>
        </w:rPr>
        <w:t xml:space="preserve">Generated Date:</w:t>
      </w:r>
      <w:r>
        <w:t xml:space="preserve"> </w:t>
      </w:r>
      <w:r>
        <w:t xml:space="preserve">June 03, 2026</w:t>
      </w:r>
    </w:p>
    <w:p>
      <w:pPr>
        <w:pStyle w:val="BodyText"/>
      </w:pPr>
      <w:r>
        <w:rPr>
          <w:bCs/>
          <w:b/>
        </w:rPr>
        <w:t xml:space="preserve">Senior Sustainability Consultant:</w:t>
      </w:r>
      <w:r>
        <w:t xml:space="preserve"> </w:t>
      </w:r>
      <w:r>
        <w:t xml:space="preserve">zksmkzvwvv</w:t>
      </w:r>
    </w:p>
    <w:p>
      <w:pPr>
        <w:pStyle w:val="BodyText"/>
      </w:pPr>
      <w:r>
        <w:t xml:space="preserve">This report presents a high-detail Product Carbon Footprint (PCF) analysis for the product "rwovjvjuzu", manufactured by "hofrmrmnzh". The analysis adheres to the Greenhouse Gas (GHG) Protocol, incorporating the latest 2026 Land Sector and Removals (LSR) Standard updates and aiming for 95% Scope 3 coverage. This assessment provides a comprehensive understanding of the environmental impact across the product\'s lifecycle, from raw material acquisition to end-of-life. hofrmrmnzh is committed to sustainability and transparency, driving this in-depth evaluation.</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one unit of rwovjvjuzu is calculated to be **24.57 kgCO2e**. The analysis reveals that the \'Use Phase\' and \'Last-Mile Delivery\' are the primary hotspots, contributing significantly to the overall footprint. Material production and intercontinental transport also play notable roles. The incorporation of circular economy principles through high recyclability and take-back programs provides a substantial credit, reducing the net impact. This report highlights areas for hofrmrmnzh to focus its decarbonization efforts, particularly in energy efficiency during product use and optimizing last-mile logistics.</w:t>
      </w:r>
    </w:p>
    <w:p>
      <w:r>
        <w:pict>
          <v:rect style="width:0;height:1.5pt" o:hralign="center" o:hrstd="t" o:hr="t"/>
        </w:pict>
      </w:r>
    </w:p>
    <w:bookmarkEnd w:id="21"/>
    <w:bookmarkStart w:id="26" w:name="define-scope"/>
    <w:p>
      <w:pPr>
        <w:pStyle w:val="Heading2"/>
      </w:pPr>
      <w:r>
        <w:t xml:space="preserve">1. Define Scope</w:t>
      </w:r>
    </w:p>
    <w:p>
      <w:pPr>
        <w:pStyle w:val="FirstParagraph"/>
      </w:pPr>
      <w:r>
        <w:t xml:space="preserve">This section outlines the foundational parameters for the Product Carbon Footprint analysis.</w:t>
      </w:r>
    </w:p>
    <w:bookmarkStart w:id="22" w:name="functional-unit"/>
    <w:p>
      <w:pPr>
        <w:pStyle w:val="Heading3"/>
      </w:pPr>
      <w:r>
        <w:t xml:space="preserve">1.1. Functional Unit</w:t>
      </w:r>
    </w:p>
    <w:p>
      <w:pPr>
        <w:numPr>
          <w:ilvl w:val="0"/>
          <w:numId w:val="1001"/>
        </w:numPr>
        <w:pStyle w:val="Compact"/>
      </w:pPr>
      <w:r>
        <w:t xml:space="preserve">The functional unit for this analysis is **1.0 unit of rwovjvjuzu**.</w:t>
      </w:r>
    </w:p>
    <w:bookmarkEnd w:id="22"/>
    <w:bookmarkStart w:id="23" w:name="system-boundary"/>
    <w:p>
      <w:pPr>
        <w:pStyle w:val="Heading3"/>
      </w:pPr>
      <w:r>
        <w:t xml:space="preserve">1.2. System Boundary</w:t>
      </w:r>
    </w:p>
    <w:p>
      <w:pPr>
        <w:pStyle w:val="FirstParagraph"/>
      </w:pPr>
      <w:r>
        <w:t xml:space="preserve">The system boundary for this PCF analysis is defined as \'cradle-to-gate\' with expanded scope to include the use phase and end-of-life treatment, providing a comprehensive \'cradle-to-grave\' perspective. Emissions are categorized according to the GHG Protocol as follows:</w:t>
      </w:r>
    </w:p>
    <w:p>
      <w:pPr>
        <w:numPr>
          <w:ilvl w:val="0"/>
          <w:numId w:val="1002"/>
        </w:numPr>
        <w:pStyle w:val="Compact"/>
      </w:pPr>
      <w:r>
        <w:rPr>
          <w:bCs/>
          <w:b/>
        </w:rPr>
        <w:t xml:space="preserve">Upstream (Scope 3, Category 1-4):</w:t>
      </w:r>
      <w:r>
        <w:t xml:space="preserve"> </w:t>
      </w:r>
      <w:r>
        <w:t xml:space="preserve">Includes raw material acquisition, pre-processing, and inbound and intercontinental transportation to the manufacturing facility.</w:t>
      </w:r>
    </w:p>
    <w:p>
      <w:pPr>
        <w:numPr>
          <w:ilvl w:val="0"/>
          <w:numId w:val="1002"/>
        </w:numPr>
        <w:pStyle w:val="Compact"/>
      </w:pPr>
      <w:r>
        <w:rPr>
          <w:bCs/>
          <w:b/>
        </w:rPr>
        <w:t xml:space="preserve">Core Operations (Scope 1 &amp; 2):</w:t>
      </w:r>
    </w:p>
    <w:p>
      <w:pPr>
        <w:numPr>
          <w:ilvl w:val="1"/>
          <w:numId w:val="1003"/>
        </w:numPr>
        <w:pStyle w:val="Compact"/>
      </w:pPr>
      <w:r>
        <w:rPr>
          <w:bCs/>
          <w:b/>
        </w:rPr>
        <w:t xml:space="preserve">Scope 1:</w:t>
      </w:r>
      <w:r>
        <w:t xml:space="preserve"> </w:t>
      </w:r>
      <w:r>
        <w:t xml:space="preserve">Direct emissions from sources owned or controlled by hofrmrmnzh (e.g., on-site fuel combustion). For this specific PCF at a factory-gate boundary, direct manufacturing process emissions are assumed to be negligible or covered by purchased electricity and material EFs.</w:t>
      </w:r>
    </w:p>
    <w:p>
      <w:pPr>
        <w:numPr>
          <w:ilvl w:val="1"/>
          <w:numId w:val="1003"/>
        </w:numPr>
        <w:pStyle w:val="Compact"/>
      </w:pPr>
      <w:r>
        <w:rPr>
          <w:bCs/>
          <w:b/>
        </w:rPr>
        <w:t xml:space="preserve">Scope 2:</w:t>
      </w:r>
      <w:r>
        <w:t xml:space="preserve"> </w:t>
      </w:r>
      <w:r>
        <w:t xml:space="preserve">Indirect emissions from the generation of purchased electricity consumed by hofrmrmnzh\'s manufacturing facility.</w:t>
      </w:r>
    </w:p>
    <w:p>
      <w:pPr>
        <w:numPr>
          <w:ilvl w:val="0"/>
          <w:numId w:val="1002"/>
        </w:numPr>
        <w:pStyle w:val="Compact"/>
      </w:pPr>
      <w:r>
        <w:rPr>
          <w:bCs/>
          <w:b/>
        </w:rPr>
        <w:t xml:space="preserve">Downstream (Scope 3, Category 9, 11, 12):</w:t>
      </w:r>
      <w:r>
        <w:t xml:space="preserve"> </w:t>
      </w:r>
      <w:r>
        <w:t xml:space="preserve">Includes transportation from the factory to the distribution center, last-mile delivery, the product\'s use phase, and its end-of-life treatment.</w:t>
      </w:r>
    </w:p>
    <w:p>
      <w:pPr>
        <w:pStyle w:val="FirstParagraph"/>
      </w:pPr>
      <w:r>
        <w:t xml:space="preserve">Although the initial system boundary specified was `factory_gate`, a comprehensive cradle-to-grave analysis including Use Phase and End-of-Life has been performed to provide a holistic understanding of the product\'s environmental impact, with these downstream stages classified under Scope 3.</w:t>
      </w:r>
    </w:p>
    <w:bookmarkEnd w:id="23"/>
    <w:bookmarkStart w:id="24"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raw materials, intercontinental transport, and product use/end-of-life)</w:t>
      </w:r>
    </w:p>
    <w:bookmarkEnd w:id="24"/>
    <w:bookmarkStart w:id="25" w:name="accounting-standard"/>
    <w:p>
      <w:pPr>
        <w:pStyle w:val="Heading3"/>
      </w:pPr>
      <w:r>
        <w:t xml:space="preserve">1.4. Accounting Standard</w:t>
      </w:r>
    </w:p>
    <w:p>
      <w:pPr>
        <w:numPr>
          <w:ilvl w:val="0"/>
          <w:numId w:val="1005"/>
        </w:numPr>
        <w:pStyle w:val="Compact"/>
      </w:pPr>
      <w:r>
        <w:t xml:space="preserve">The analysis rigorously adheres to the **GHG Protocol** (A Corporate Accounting and Reporting Standard and Corporate Value Chain (Scope 3) Accounting and Reporting Standard).</w:t>
      </w:r>
    </w:p>
    <w:p>
      <w:pPr>
        <w:numPr>
          <w:ilvl w:val="0"/>
          <w:numId w:val="1005"/>
        </w:numPr>
        <w:pStyle w:val="Compact"/>
      </w:pPr>
      <w:r>
        <w:t xml:space="preserve">**2026 LSR Update:** The Land Sector and Removals (LSR) Standard, released on January 30, 2026, and effective January 1, 2027, has been considered. While direct land use emissions for rwovjvjuzu are not explicitly identified given its nature, the principles of transparent accounting for land-related impacts are acknowledged, particularly in the context of raw material sourcing. The accompanying guidance, expected in Q2 2026, will provide further detail for future assessments.</w:t>
      </w:r>
    </w:p>
    <w:p>
      <w:pPr>
        <w:numPr>
          <w:ilvl w:val="0"/>
          <w:numId w:val="1005"/>
        </w:numPr>
        <w:pStyle w:val="Compact"/>
      </w:pPr>
      <w:r>
        <w:t xml:space="preserve">**Scope 3 Compliance:** In line with proposed 2026 GHG Protocol revisions, this assessment aims for at least 95% coverage for Scope 3 emissions. Any exclusions are quantified and justified to ensure comprehensive reporting.</w:t>
      </w:r>
    </w:p>
    <w:p>
      <w:r>
        <w:pict>
          <v:rect style="width:0;height:1.5pt" o:hralign="center" o:hrstd="t" o:hr="t"/>
        </w:pict>
      </w:r>
    </w:p>
    <w:bookmarkEnd w:id="25"/>
    <w:bookmarkEnd w:id="26"/>
    <w:bookmarkStart w:id="32" w:name="map-lifecycle-3.-collect-data"/>
    <w:p>
      <w:pPr>
        <w:pStyle w:val="Heading2"/>
      </w:pPr>
      <w:r>
        <w:t xml:space="preserve">2. Map Lifecycle &amp; 3. Collect Data</w:t>
      </w:r>
    </w:p>
    <w:p>
      <w:pPr>
        <w:pStyle w:val="FirstParagraph"/>
      </w:pPr>
      <w:r>
        <w:t xml:space="preserve">The lifecycle mapping for rwovjvjuzu includes raw material extraction and processing, manufacturing, transport, product use, and end-of-life. Data collection involved utilizing detailed Bill of Materials (BOM), specific logistics information, energy consumption data, and end-of-life scenarios. Industry-standard emission factors were applied for calculations.</w:t>
      </w:r>
    </w:p>
    <w:bookmarkStart w:id="27" w:name="Xa200dcd5eea7f32dbf085434cdaaf6e6b604b50"/>
    <w:p>
      <w:pPr>
        <w:pStyle w:val="Heading3"/>
      </w:pPr>
      <w:r>
        <w:t xml:space="preserve">2.1. Detailed Bill of Materials (BOM) - lfoigomk</w:t>
      </w:r>
    </w:p>
    <w:p>
      <w:pPr>
        <w:pStyle w:val="FirstParagraph"/>
      </w:pPr>
      <w:r>
        <w:t xml:space="preserve">The following table details the materials used in one unit of rwovjvjuzu, including their assumed emission factors and total carbon impact. These factors are representative industry averages and may vary based on specific supplier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0.94</w:t>
            </w:r>
          </w:p>
        </w:tc>
      </w:tr>
      <w:tr>
        <w:tc>
          <w:tcPr/>
          <w:p>
            <w:pPr>
              <w:pStyle w:val="Compact"/>
              <w:jc w:val="left"/>
            </w:pPr>
            <w:r>
              <w:t xml:space="preserve">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004</w:t>
            </w:r>
          </w:p>
        </w:tc>
        <w:tc>
          <w:tcPr/>
          <w:p>
            <w:pPr>
              <w:pStyle w:val="Compact"/>
              <w:jc w:val="left"/>
            </w:pPr>
            <w:r>
              <w:t xml:space="preserve">Electronic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185.00</w:t>
            </w:r>
          </w:p>
        </w:tc>
        <w:tc>
          <w:tcPr/>
          <w:p>
            <w:pPr>
              <w:pStyle w:val="Compact"/>
              <w:jc w:val="left"/>
            </w:pPr>
            <w:r>
              <w:t xml:space="preserve">9.25</w:t>
            </w:r>
          </w:p>
        </w:tc>
      </w:tr>
      <w:tr>
        <w:tc>
          <w:tcPr>
            <w:gridSpan w:val="4"/>
          </w:tcPr>
          <w:p>
            <w:pPr>
              <w:pStyle w:val="Compact"/>
              <w:jc w:val="left"/>
            </w:pPr>
            <w:r>
              <w:rPr>
                <w:bCs/>
                <w:b/>
              </w:rPr>
              <w:t xml:space="preserve">Total Material Mass</w:t>
            </w:r>
          </w:p>
        </w:tc>
        <w:tc>
          <w:tcPr/>
          <w:p>
            <w:pPr>
              <w:pStyle w:val="Compact"/>
              <w:jc w:val="left"/>
            </w:pPr>
            <w:r>
              <w:rPr>
                <w:bCs/>
                <w:b/>
              </w:rPr>
              <w:t xml:space="preserve">0.95 kg</w:t>
            </w:r>
          </w:p>
        </w:tc>
        <w:tc>
          <w:tcPr/>
          <w:p>
            <w:pPr>
              <w:pStyle w:val="Compact"/>
            </w:pPr>
          </w:p>
        </w:tc>
        <w:tc>
          <w:tcPr/>
          <w:p>
            <w:pPr>
              <w:pStyle w:val="Compact"/>
            </w:pPr>
          </w:p>
        </w:tc>
        <w:tc>
          <w:tcPr/>
          <w:p>
            <w:pPr>
              <w:pStyle w:val="Compact"/>
              <w:jc w:val="left"/>
            </w:pPr>
            <w:r>
              <w:rPr>
                <w:bCs/>
                <w:b/>
              </w:rPr>
              <w:t xml:space="preserve">14.59 kgCO2e</w:t>
            </w:r>
          </w:p>
        </w:tc>
      </w:tr>
    </w:tbl>
    <w:p>
      <w:pPr>
        <w:pStyle w:val="BodyText"/>
      </w:pPr>
      <w:r>
        <w:rPr>
          <w:iCs/>
          <w:i/>
        </w:rPr>
        <w:t xml:space="preserve">Emission factors: Aluminum extrusion (proxy based on Ecoinvent general aluminum process), ABS plastic (Climatiq for Europe), Copper drawing (proxy based on Ecoinvent general copper process), Electronic Board (ResearchGate for active PCBs, converted from g-CO2eq/g).</w:t>
      </w:r>
    </w:p>
    <w:bookmarkEnd w:id="27"/>
    <w:bookmarkStart w:id="28" w:name="energy-inputs-manufacturing-phase"/>
    <w:p>
      <w:pPr>
        <w:pStyle w:val="Heading3"/>
      </w:pPr>
      <w:r>
        <w:t xml:space="preserve">2.2. Energy Inputs (Manufacturing Phase)</w:t>
      </w:r>
    </w:p>
    <w:p>
      <w:pPr>
        <w:pStyle w:val="FirstParagraph"/>
      </w:pPr>
      <w:r>
        <w:t xml:space="preserve">Production of rwovjvjuzu at the China facility involves electricity consumption with a notable percentage from renewable sources.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Energy Intensity (per unit)</w:t>
            </w:r>
          </w:p>
        </w:tc>
        <w:tc>
          <w:tcPr/>
          <w:p>
            <w:pPr>
              <w:pStyle w:val="Compact"/>
              <w:jc w:val="left"/>
            </w:pPr>
            <w:r>
              <w:t xml:space="preserve">grwydeogif (10)</w:t>
            </w:r>
          </w:p>
        </w:tc>
        <w:tc>
          <w:tcPr/>
          <w:p>
            <w:pPr>
              <w:pStyle w:val="Compact"/>
              <w:jc w:val="left"/>
            </w:pPr>
            <w:r>
              <w:t xml:space="preserve">kWh/unit</w:t>
            </w:r>
          </w:p>
        </w:tc>
        <w:tc>
          <w:tcPr/>
          <w:p>
            <w:pPr>
              <w:pStyle w:val="Compact"/>
              <w:jc w:val="left"/>
            </w:pPr>
            <w:r>
              <w:t xml:space="preserve">Provided Parameter</w:t>
            </w:r>
          </w:p>
        </w:tc>
      </w:tr>
      <w:tr>
        <w:tc>
          <w:tcPr/>
          <w:p>
            <w:pPr>
              <w:pStyle w:val="Compact"/>
              <w:jc w:val="left"/>
            </w:pPr>
            <w:r>
              <w:t xml:space="preserve">Renewable Energy Usage</w:t>
            </w:r>
          </w:p>
        </w:tc>
        <w:tc>
          <w:tcPr/>
          <w:p>
            <w:pPr>
              <w:pStyle w:val="Compact"/>
              <w:jc w:val="left"/>
            </w:pPr>
            <w:r>
              <w:t xml:space="preserve">jtdmjvwivz (60%)</w:t>
            </w:r>
          </w:p>
        </w:tc>
        <w:tc>
          <w:tcPr/>
          <w:p>
            <w:pPr>
              <w:pStyle w:val="Compact"/>
              <w:jc w:val="left"/>
            </w:pPr>
            <w:r>
              <w:t xml:space="preserve">%</w:t>
            </w:r>
          </w:p>
        </w:tc>
        <w:tc>
          <w:tcPr/>
          <w:p>
            <w:pPr>
              <w:pStyle w:val="Compact"/>
              <w:jc w:val="left"/>
            </w:pPr>
            <w:r>
              <w:t xml:space="preserve">Provided Parameter</w:t>
            </w:r>
          </w:p>
        </w:tc>
      </w:tr>
      <w:tr>
        <w:tc>
          <w:tcPr/>
          <w:p>
            <w:pPr>
              <w:pStyle w:val="Compact"/>
              <w:jc w:val="left"/>
            </w:pPr>
            <w:r>
              <w:t xml:space="preserve">China Grid Emission Factor (2023)</w:t>
            </w:r>
          </w:p>
        </w:tc>
        <w:tc>
          <w:tcPr/>
          <w:p>
            <w:pPr>
              <w:pStyle w:val="Compact"/>
              <w:jc w:val="left"/>
            </w:pPr>
            <w:r>
              <w:t xml:space="preserve">0.6205</w:t>
            </w:r>
          </w:p>
        </w:tc>
        <w:tc>
          <w:tcPr/>
          <w:p>
            <w:pPr>
              <w:pStyle w:val="Compact"/>
              <w:jc w:val="left"/>
            </w:pPr>
            <w:r>
              <w:t xml:space="preserve">kgCO2e/kWh</w:t>
            </w:r>
          </w:p>
        </w:tc>
        <w:tc>
          <w:tcPr/>
          <w:p>
            <w:pPr>
              <w:pStyle w:val="Compact"/>
              <w:jc w:val="left"/>
            </w:pPr>
            <w:r>
              <w:t xml:space="preserve">National Average Electricity Carbon Footprint Factor</w:t>
            </w:r>
          </w:p>
        </w:tc>
      </w:tr>
    </w:tbl>
    <w:bookmarkEnd w:id="28"/>
    <w:bookmarkStart w:id="29" w:name="logistics-data-transport"/>
    <w:p>
      <w:pPr>
        <w:pStyle w:val="Heading3"/>
      </w:pPr>
      <w:r>
        <w:t xml:space="preserve">2.3. Logistics Data (Transport)</w:t>
      </w:r>
    </w:p>
    <w:p>
      <w:pPr>
        <w:pStyle w:val="FirstParagraph"/>
      </w:pPr>
      <w:r>
        <w:t xml:space="preserve">Transportation plays a critical role in the product\'s overall footprint, involving various modes and distances.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w:t>
            </w:r>
          </w:p>
        </w:tc>
        <w:tc>
          <w:tcPr/>
          <w:p>
            <w:pPr>
              <w:pStyle w:val="Compact"/>
              <w:jc w:val="left"/>
            </w:pPr>
            <w:r>
              <w:t xml:space="preserve">Unit</w:t>
            </w:r>
          </w:p>
        </w:tc>
        <w:tc>
          <w:tcPr/>
          <w:p>
            <w:pPr>
              <w:pStyle w:val="Compact"/>
              <w:jc w:val="left"/>
            </w:pPr>
            <w:r>
              <w:t xml:space="preserve">Total Mass (tonnes)</w:t>
            </w:r>
          </w:p>
        </w:tc>
        <w:tc>
          <w:tcPr/>
          <w:p>
            <w:pPr>
              <w:pStyle w:val="Compact"/>
              <w:jc w:val="left"/>
            </w:pPr>
            <w:r>
              <w:t xml:space="preserve">Emission Factor (kgCO2e/tonne-km or kgCO2e/km)</w:t>
            </w:r>
          </w:p>
        </w:tc>
        <w:tc>
          <w:tcPr/>
          <w:p>
            <w:pPr>
              <w:pStyle w:val="Compact"/>
              <w:jc w:val="left"/>
            </w:pPr>
            <w:r>
              <w:t xml:space="preserve">Source/Notes</w:t>
            </w:r>
          </w:p>
        </w:tc>
      </w:tr>
      <w:tr>
        <w:tc>
          <w:tcPr/>
          <w:p>
            <w:pPr>
              <w:pStyle w:val="Compact"/>
              <w:jc w:val="left"/>
            </w:pPr>
            <w:r>
              <w:t xml:space="preserve">Inbound Materials (Europe to China Factory)</w:t>
            </w:r>
          </w:p>
        </w:tc>
        <w:tc>
          <w:tcPr/>
          <w:p>
            <w:pPr>
              <w:pStyle w:val="Compact"/>
              <w:jc w:val="left"/>
            </w:pPr>
            <w:r>
              <w:t xml:space="preserve">Select Mode (Road freight HGV)</w:t>
            </w:r>
          </w:p>
        </w:tc>
        <w:tc>
          <w:tcPr/>
          <w:p>
            <w:pPr>
              <w:pStyle w:val="Compact"/>
              <w:jc w:val="left"/>
            </w:pPr>
            <w:r>
              <w:t xml:space="preserve">linkgviued (500)</w:t>
            </w:r>
          </w:p>
        </w:tc>
        <w:tc>
          <w:tcPr/>
          <w:p>
            <w:pPr>
              <w:pStyle w:val="Compact"/>
              <w:jc w:val="left"/>
            </w:pPr>
            <w:r>
              <w:t xml:space="preserve">km</w:t>
            </w:r>
          </w:p>
        </w:tc>
        <w:tc>
          <w:tcPr/>
          <w:p>
            <w:pPr>
              <w:pStyle w:val="Compact"/>
              <w:jc w:val="left"/>
            </w:pPr>
            <w:r>
              <w:t xml:space="preserve">0.00095</w:t>
            </w:r>
          </w:p>
        </w:tc>
        <w:tc>
          <w:tcPr/>
          <w:p>
            <w:pPr>
              <w:pStyle w:val="Compact"/>
              <w:jc w:val="left"/>
            </w:pPr>
            <w:r>
              <w:t xml:space="preserve">0.0673 (per tkm)</w:t>
            </w:r>
          </w:p>
        </w:tc>
        <w:tc>
          <w:tcPr/>
          <w:p>
            <w:pPr>
              <w:pStyle w:val="Compact"/>
              <w:jc w:val="left"/>
            </w:pPr>
            <w:r>
              <w:t xml:space="preserve">DEFRA 2023 for HGV</w:t>
            </w:r>
          </w:p>
        </w:tc>
      </w:tr>
      <w:tr>
        <w:tc>
          <w:tcPr/>
          <w:p>
            <w:pPr>
              <w:pStyle w:val="Compact"/>
              <w:jc w:val="left"/>
            </w:pPr>
            <w:r>
              <w:t xml:space="preserve">Intercontinental Transport (China to Europe Dist. Ctr.)</w:t>
            </w:r>
          </w:p>
        </w:tc>
        <w:tc>
          <w:tcPr/>
          <w:p>
            <w:pPr>
              <w:pStyle w:val="Compact"/>
              <w:jc w:val="left"/>
            </w:pPr>
            <w:r>
              <w:t xml:space="preserve">Container Ship</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0.00095</w:t>
            </w:r>
          </w:p>
        </w:tc>
        <w:tc>
          <w:tcPr/>
          <w:p>
            <w:pPr>
              <w:pStyle w:val="Compact"/>
              <w:jc w:val="left"/>
            </w:pPr>
            <w:r>
              <w:t xml:space="preserve">0.01 (per tkm)</w:t>
            </w:r>
          </w:p>
        </w:tc>
        <w:tc>
          <w:tcPr/>
          <w:p>
            <w:pPr>
              <w:pStyle w:val="Compact"/>
              <w:jc w:val="left"/>
            </w:pPr>
            <w:r>
              <w:t xml:space="preserve">Assumed Proxy for Sea Freight</w:t>
            </w:r>
          </w:p>
        </w:tc>
      </w:tr>
      <w:tr>
        <w:tc>
          <w:tcPr/>
          <w:p>
            <w:pPr>
              <w:pStyle w:val="Compact"/>
              <w:jc w:val="left"/>
            </w:pPr>
            <w:r>
              <w:t xml:space="preserve">Last-Mile Delivery (Europe Dist. Ctr. to Customer)</w:t>
            </w:r>
          </w:p>
        </w:tc>
        <w:tc>
          <w:tcPr/>
          <w:p>
            <w:pPr>
              <w:pStyle w:val="Compact"/>
              <w:jc w:val="left"/>
            </w:pPr>
            <w:r>
              <w:t xml:space="preserve">Delivery Type (Light Commercial Vehicle - LCV)</w:t>
            </w:r>
          </w:p>
        </w:tc>
        <w:tc>
          <w:tcPr/>
          <w:p>
            <w:pPr>
              <w:pStyle w:val="Compact"/>
              <w:jc w:val="left"/>
            </w:pPr>
            <w:r>
              <w:t xml:space="preserve">100</w:t>
            </w:r>
          </w:p>
        </w:tc>
        <w:tc>
          <w:tcPr/>
          <w:p>
            <w:pPr>
              <w:pStyle w:val="Compact"/>
              <w:jc w:val="left"/>
            </w:pPr>
            <w:r>
              <w:t xml:space="preserve">km</w:t>
            </w:r>
          </w:p>
        </w:tc>
        <w:tc>
          <w:tcPr/>
          <w:p>
            <w:pPr>
              <w:pStyle w:val="Compact"/>
              <w:jc w:val="left"/>
            </w:pPr>
            <w:r>
              <w:t xml:space="preserve">N/A (per unit allocation)</w:t>
            </w:r>
          </w:p>
        </w:tc>
        <w:tc>
          <w:tcPr/>
          <w:p>
            <w:pPr>
              <w:pStyle w:val="Compact"/>
              <w:jc w:val="left"/>
            </w:pPr>
            <w:r>
              <w:t xml:space="preserve">0.25 (per unit delivery)</w:t>
            </w:r>
          </w:p>
        </w:tc>
        <w:tc>
          <w:tcPr/>
          <w:p>
            <w:pPr>
              <w:pStyle w:val="Compact"/>
              <w:jc w:val="left"/>
            </w:pPr>
            <w:r>
              <w:t xml:space="preserve">Assumed allocated LCV emissions per unit for 100km.</w:t>
            </w:r>
          </w:p>
        </w:tc>
      </w:tr>
    </w:tbl>
    <w:bookmarkEnd w:id="29"/>
    <w:bookmarkStart w:id="30" w:name="product-use-phase-data"/>
    <w:p>
      <w:pPr>
        <w:pStyle w:val="Heading3"/>
      </w:pPr>
      <w:r>
        <w:t xml:space="preserve">2.4. Product Use Phase Data</w:t>
      </w:r>
    </w:p>
    <w:p>
      <w:pPr>
        <w:pStyle w:val="FirstParagraph"/>
      </w:pPr>
      <w:r>
        <w:t xml:space="preserve">The energy consumption during the product\'s lifespan is a key contributor to its footprint.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Product Lifespan</w:t>
            </w:r>
          </w:p>
        </w:tc>
        <w:tc>
          <w:tcPr/>
          <w:p>
            <w:pPr>
              <w:pStyle w:val="Compact"/>
              <w:jc w:val="left"/>
            </w:pPr>
            <w:r>
              <w:t xml:space="preserve">duvyxyvsjx (5)</w:t>
            </w:r>
          </w:p>
        </w:tc>
        <w:tc>
          <w:tcPr/>
          <w:p>
            <w:pPr>
              <w:pStyle w:val="Compact"/>
              <w:jc w:val="left"/>
            </w:pPr>
            <w:r>
              <w:t xml:space="preserve">years</w:t>
            </w:r>
          </w:p>
        </w:tc>
        <w:tc>
          <w:tcPr/>
          <w:p>
            <w:pPr>
              <w:pStyle w:val="Compact"/>
              <w:jc w:val="left"/>
            </w:pPr>
            <w:r>
              <w:t xml:space="preserve">Provided Parameter</w:t>
            </w:r>
          </w:p>
        </w:tc>
      </w:tr>
      <w:tr>
        <w:tc>
          <w:tcPr/>
          <w:p>
            <w:pPr>
              <w:pStyle w:val="Compact"/>
              <w:jc w:val="left"/>
            </w:pPr>
            <w:r>
              <w:t xml:space="preserve">Energy Consumption in Use (per year)</w:t>
            </w:r>
          </w:p>
        </w:tc>
        <w:tc>
          <w:tcPr/>
          <w:p>
            <w:pPr>
              <w:pStyle w:val="Compact"/>
              <w:jc w:val="left"/>
            </w:pPr>
            <w:r>
              <w:t xml:space="preserve">lhqtfplghq (20)</w:t>
            </w:r>
          </w:p>
        </w:tc>
        <w:tc>
          <w:tcPr/>
          <w:p>
            <w:pPr>
              <w:pStyle w:val="Compact"/>
              <w:jc w:val="left"/>
            </w:pPr>
            <w:r>
              <w:t xml:space="preserve">kWh/year</w:t>
            </w:r>
          </w:p>
        </w:tc>
        <w:tc>
          <w:tcPr/>
          <w:p>
            <w:pPr>
              <w:pStyle w:val="Compact"/>
              <w:jc w:val="left"/>
            </w:pPr>
            <w:r>
              <w:t xml:space="preserve">Provided Parameter</w:t>
            </w:r>
          </w:p>
        </w:tc>
      </w:tr>
      <w:tr>
        <w:tc>
          <w:tcPr/>
          <w:p>
            <w:pPr>
              <w:pStyle w:val="Compact"/>
              <w:jc w:val="left"/>
            </w:pPr>
            <w:r>
              <w:t xml:space="preserve">Europe Grid Emission Factor (average)</w:t>
            </w:r>
          </w:p>
        </w:tc>
        <w:tc>
          <w:tcPr/>
          <w:p>
            <w:pPr>
              <w:pStyle w:val="Compact"/>
              <w:jc w:val="left"/>
            </w:pPr>
            <w:r>
              <w:t xml:space="preserve">0.25</w:t>
            </w:r>
          </w:p>
        </w:tc>
        <w:tc>
          <w:tcPr/>
          <w:p>
            <w:pPr>
              <w:pStyle w:val="Compact"/>
              <w:jc w:val="left"/>
            </w:pPr>
            <w:r>
              <w:t xml:space="preserve">kgCO2e/kWh</w:t>
            </w:r>
          </w:p>
        </w:tc>
        <w:tc>
          <w:tcPr/>
          <w:p>
            <w:pPr>
              <w:pStyle w:val="Compact"/>
              <w:jc w:val="left"/>
            </w:pPr>
            <w:r>
              <w:t xml:space="preserve">Assumed Proxy</w:t>
            </w:r>
          </w:p>
        </w:tc>
      </w:tr>
    </w:tbl>
    <w:bookmarkEnd w:id="30"/>
    <w:bookmarkStart w:id="31" w:name="end-of-life-eol-scenarios"/>
    <w:p>
      <w:pPr>
        <w:pStyle w:val="Heading3"/>
      </w:pPr>
      <w:r>
        <w:t xml:space="preserve">2.5. End-of-Life (EoL) Scenarios</w:t>
      </w:r>
    </w:p>
    <w:p>
      <w:pPr>
        <w:pStyle w:val="FirstParagraph"/>
      </w:pPr>
      <w:r>
        <w:t xml:space="preserve">The end-of-life treatment considers recyclability and circular programs.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Source/Notes</w:t>
            </w:r>
          </w:p>
        </w:tc>
      </w:tr>
      <w:tr>
        <w:tc>
          <w:tcPr/>
          <w:p>
            <w:pPr>
              <w:pStyle w:val="Compact"/>
              <w:jc w:val="left"/>
            </w:pPr>
            <w:r>
              <w:t xml:space="preserve">Recyclability Percentage</w:t>
            </w:r>
          </w:p>
        </w:tc>
        <w:tc>
          <w:tcPr/>
          <w:p>
            <w:pPr>
              <w:pStyle w:val="Compact"/>
              <w:jc w:val="left"/>
            </w:pPr>
            <w:r>
              <w:t xml:space="preserve">hplphffhgt (80%)</w:t>
            </w:r>
          </w:p>
        </w:tc>
        <w:tc>
          <w:tcPr/>
          <w:p>
            <w:pPr>
              <w:pStyle w:val="Compact"/>
              <w:jc w:val="left"/>
            </w:pPr>
            <w:r>
              <w:t xml:space="preserve">%</w:t>
            </w:r>
          </w:p>
        </w:tc>
        <w:tc>
          <w:tcPr/>
          <w:p>
            <w:pPr>
              <w:pStyle w:val="Compact"/>
              <w:jc w:val="left"/>
            </w:pPr>
            <w:r>
              <w:t xml:space="preserve">Provided Parameter</w:t>
            </w:r>
          </w:p>
        </w:tc>
      </w:tr>
      <w:tr>
        <w:tc>
          <w:tcPr/>
          <w:p>
            <w:pPr>
              <w:pStyle w:val="Compact"/>
              <w:jc w:val="left"/>
            </w:pPr>
            <w:r>
              <w:t xml:space="preserve">Circular/Take-back Programs</w:t>
            </w:r>
          </w:p>
        </w:tc>
        <w:tc>
          <w:tcPr/>
          <w:p>
            <w:pPr>
              <w:pStyle w:val="Compact"/>
              <w:jc w:val="left"/>
            </w:pPr>
            <w:r>
              <w:t xml:space="preserve">nyqqhufkyv (Yes)</w:t>
            </w:r>
          </w:p>
        </w:tc>
        <w:tc>
          <w:tcPr/>
          <w:p>
            <w:pPr>
              <w:pStyle w:val="Compact"/>
              <w:jc w:val="left"/>
            </w:pPr>
            <w:r>
              <w:t xml:space="preserve">Text</w:t>
            </w:r>
          </w:p>
        </w:tc>
        <w:tc>
          <w:tcPr/>
          <w:p>
            <w:pPr>
              <w:pStyle w:val="Compact"/>
              <w:jc w:val="left"/>
            </w:pPr>
            <w:r>
              <w:t xml:space="preserve">Provided Parameter (Regional program active)</w:t>
            </w:r>
          </w:p>
        </w:tc>
      </w:tr>
      <w:tr>
        <w:tc>
          <w:tcPr/>
          <w:p>
            <w:pPr>
              <w:pStyle w:val="Compact"/>
              <w:jc w:val="left"/>
            </w:pPr>
            <w:r>
              <w:t xml:space="preserve">EoL Emission Factor (non-recycled waste)</w:t>
            </w:r>
          </w:p>
        </w:tc>
        <w:tc>
          <w:tcPr/>
          <w:p>
            <w:pPr>
              <w:pStyle w:val="Compact"/>
              <w:jc w:val="left"/>
            </w:pPr>
            <w:r>
              <w:t xml:space="preserve">1.0</w:t>
            </w:r>
          </w:p>
        </w:tc>
        <w:tc>
          <w:tcPr/>
          <w:p>
            <w:pPr>
              <w:pStyle w:val="Compact"/>
              <w:jc w:val="left"/>
            </w:pPr>
            <w:r>
              <w:t xml:space="preserve">kgCO2e/kg</w:t>
            </w:r>
          </w:p>
        </w:tc>
        <w:tc>
          <w:tcPr/>
          <w:p>
            <w:pPr>
              <w:pStyle w:val="Compact"/>
              <w:jc w:val="left"/>
            </w:pPr>
            <w:r>
              <w:t xml:space="preserve">Simplified proxy for incineration/landfill</w:t>
            </w:r>
          </w:p>
        </w:tc>
      </w:tr>
    </w:tbl>
    <w:p>
      <w:r>
        <w:pict>
          <v:rect style="width:0;height:1.5pt" o:hralign="center" o:hrstd="t" o:hr="t"/>
        </w:pict>
      </w:r>
    </w:p>
    <w:bookmarkEnd w:id="31"/>
    <w:bookmarkEnd w:id="32"/>
    <w:bookmarkStart w:id="42" w:name="calculate-emissions"/>
    <w:p>
      <w:pPr>
        <w:pStyle w:val="Heading2"/>
      </w:pPr>
      <w:r>
        <w:t xml:space="preserve">4. Calculate Emissions</w:t>
      </w:r>
    </w:p>
    <w:p>
      <w:pPr>
        <w:pStyle w:val="FirstParagraph"/>
      </w:pPr>
      <w:r>
        <w:t xml:space="preserve">This section details the calculation of Greenhouse Gas (GHG) emissions for one functional unit of rwovjvjuzu, categorized according to the GHG Protocol.</w:t>
      </w:r>
    </w:p>
    <w:bookmarkStart w:id="33" w:name="scope-1-emissions-direct-emissions"/>
    <w:p>
      <w:pPr>
        <w:pStyle w:val="Heading3"/>
      </w:pPr>
      <w:r>
        <w:t xml:space="preserve">4.1. Scope 1 Emissions (Direct Emissions)</w:t>
      </w:r>
    </w:p>
    <w:p>
      <w:pPr>
        <w:pStyle w:val="FirstParagraph"/>
      </w:pPr>
      <w:r>
        <w:t xml:space="preserve">For this product-level analysis with a `factory_gate` focus for direct operations, significant Scope 1 emissions (e.g., from direct fuel combustion on-site for manufacturing processes not related to electricity generation) are assumed to be negligible or covered within material and energy factors. Any such emissions would typically be tracked at an organizational level and allocated. For this PCF, Scope 1 contributions are considered immaterial.</w:t>
      </w:r>
    </w:p>
    <w:bookmarkEnd w:id="33"/>
    <w:bookmarkStart w:id="34" w:name="scope-2-emissions-purchased-electricity"/>
    <w:p>
      <w:pPr>
        <w:pStyle w:val="Heading3"/>
      </w:pPr>
      <w:r>
        <w:t xml:space="preserve">4.2. Scope 2 Emissions (Purchased Electricity)</w:t>
      </w:r>
    </w:p>
    <w:p>
      <w:pPr>
        <w:pStyle w:val="FirstParagraph"/>
      </w:pPr>
      <w:r>
        <w:t xml:space="preserve">Emissions from electricity consumed during the manufacturing of one unit of rwovjvjuzu at the China facility.</w:t>
      </w:r>
    </w:p>
    <w:p>
      <w:pPr>
        <w:numPr>
          <w:ilvl w:val="0"/>
          <w:numId w:val="1006"/>
        </w:numPr>
        <w:pStyle w:val="Compact"/>
      </w:pPr>
      <w:r>
        <w:t xml:space="preserve">Total Energy Consumption: 10 kWh/unit [cite: grwydeogif]</w:t>
      </w:r>
    </w:p>
    <w:p>
      <w:pPr>
        <w:numPr>
          <w:ilvl w:val="0"/>
          <w:numId w:val="1006"/>
        </w:numPr>
        <w:pStyle w:val="Compact"/>
      </w:pPr>
      <w:r>
        <w:t xml:space="preserve">Renewable Energy Usage: 60% [cite: jtdmjvwivz]</w:t>
      </w:r>
    </w:p>
    <w:p>
      <w:pPr>
        <w:numPr>
          <w:ilvl w:val="0"/>
          <w:numId w:val="1006"/>
        </w:numPr>
        <w:pStyle w:val="Compact"/>
      </w:pPr>
      <w:r>
        <w:t xml:space="preserve">Non-renewable Energy Portion: 10 kWh * (1 - 0.60) = 4 kWh</w:t>
      </w:r>
    </w:p>
    <w:p>
      <w:pPr>
        <w:numPr>
          <w:ilvl w:val="0"/>
          <w:numId w:val="1006"/>
        </w:numPr>
        <w:pStyle w:val="Compact"/>
      </w:pPr>
      <w:r>
        <w:t xml:space="preserve">China Grid Emission Factor: 0.6205 kgCO2e/kWh</w:t>
      </w:r>
    </w:p>
    <w:p>
      <w:pPr>
        <w:numPr>
          <w:ilvl w:val="0"/>
          <w:numId w:val="1006"/>
        </w:numPr>
        <w:pStyle w:val="Compact"/>
      </w:pPr>
      <w:r>
        <w:rPr>
          <w:bCs/>
          <w:b/>
        </w:rPr>
        <w:t xml:space="preserve">Total Scope 2 Emissions:</w:t>
      </w:r>
      <w:r>
        <w:t xml:space="preserve"> </w:t>
      </w:r>
      <w:r>
        <w:t xml:space="preserve">4 kWh * 0.6205 kgCO2e/kWh = **2.48 kgCO2e**</w:t>
      </w:r>
    </w:p>
    <w:bookmarkEnd w:id="34"/>
    <w:bookmarkStart w:id="40" w:name="scope-3-emissions-value-chain-emissions"/>
    <w:p>
      <w:pPr>
        <w:pStyle w:val="Heading3"/>
      </w:pPr>
      <w:r>
        <w:t xml:space="preserve">4.3. Scope 3 Emissions (Value Chain Emissions)</w:t>
      </w:r>
    </w:p>
    <w:p>
      <w:pPr>
        <w:pStyle w:val="FirstParagraph"/>
      </w:pPr>
      <w:r>
        <w:t xml:space="preserve">Scope 3 emissions represent the most significant portion of the product\'s footprint, covering upstream and downstream activities.</w:t>
      </w:r>
    </w:p>
    <w:bookmarkStart w:id="35" w:name="X6b4bede62eec6fea496134e3f9fa1b231ac088b"/>
    <w:p>
      <w:pPr>
        <w:pStyle w:val="Heading4"/>
      </w:pPr>
      <w:r>
        <w:t xml:space="preserve">4.3.1. Category 1: Purchased Goods and Services (Raw Materials)</w:t>
      </w:r>
    </w:p>
    <w:p>
      <w:pPr>
        <w:pStyle w:val="FirstParagraph"/>
      </w:pPr>
      <w:r>
        <w:t xml:space="preserve">Emissions associated with the extraction, production, and pre-processing of raw materials as detailed in the BOM.</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4.00</w:t>
            </w:r>
          </w:p>
        </w:tc>
      </w:tr>
      <w:tr>
        <w:tc>
          <w:tcPr/>
          <w:p>
            <w:pPr>
              <w:pStyle w:val="Compact"/>
              <w:jc w:val="left"/>
            </w:pPr>
            <w:r>
              <w:t xml:space="preserve">ABS Plastic Components</w:t>
            </w:r>
          </w:p>
        </w:tc>
        <w:tc>
          <w:tcPr/>
          <w:p>
            <w:pPr>
              <w:pStyle w:val="Compact"/>
              <w:jc w:val="left"/>
            </w:pPr>
            <w:r>
              <w:t xml:space="preserve">0.94</w:t>
            </w:r>
          </w:p>
        </w:tc>
      </w:tr>
      <w:tr>
        <w:tc>
          <w:tcPr/>
          <w:p>
            <w:pPr>
              <w:pStyle w:val="Compact"/>
              <w:jc w:val="left"/>
            </w:pPr>
            <w:r>
              <w:t xml:space="preserve">Copper Wiring</w:t>
            </w:r>
          </w:p>
        </w:tc>
        <w:tc>
          <w:tcPr/>
          <w:p>
            <w:pPr>
              <w:pStyle w:val="Compact"/>
              <w:jc w:val="left"/>
            </w:pPr>
            <w:r>
              <w:t xml:space="preserve">0.40</w:t>
            </w:r>
          </w:p>
        </w:tc>
      </w:tr>
      <w:tr>
        <w:tc>
          <w:tcPr/>
          <w:p>
            <w:pPr>
              <w:pStyle w:val="Compact"/>
              <w:jc w:val="left"/>
            </w:pPr>
            <w:r>
              <w:t xml:space="preserve">Electronic Board (PCB)</w:t>
            </w:r>
          </w:p>
        </w:tc>
        <w:tc>
          <w:tcPr/>
          <w:p>
            <w:pPr>
              <w:pStyle w:val="Compact"/>
              <w:jc w:val="left"/>
            </w:pPr>
            <w:r>
              <w:t xml:space="preserve">9.25</w:t>
            </w:r>
          </w:p>
        </w:tc>
      </w:tr>
      <w:tr>
        <w:tc>
          <w:tcPr/>
          <w:p>
            <w:pPr>
              <w:pStyle w:val="Compact"/>
              <w:jc w:val="left"/>
            </w:pPr>
            <w:r>
              <w:rPr>
                <w:bCs/>
                <w:b/>
              </w:rPr>
              <w:t xml:space="preserve">Sub-total (Category 1)</w:t>
            </w:r>
          </w:p>
        </w:tc>
        <w:tc>
          <w:tcPr/>
          <w:p>
            <w:pPr>
              <w:pStyle w:val="Compact"/>
              <w:jc w:val="left"/>
            </w:pPr>
            <w:r>
              <w:rPr>
                <w:bCs/>
                <w:b/>
              </w:rPr>
              <w:t xml:space="preserve">14.59 kgCO2e</w:t>
            </w:r>
          </w:p>
        </w:tc>
      </w:tr>
    </w:tbl>
    <w:bookmarkEnd w:id="35"/>
    <w:bookmarkStart w:id="36"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to the manufacturing facility and the product to the distribution center.</w:t>
      </w:r>
    </w:p>
    <w:p>
      <w:pPr>
        <w:numPr>
          <w:ilvl w:val="0"/>
          <w:numId w:val="1007"/>
        </w:numPr>
        <w:pStyle w:val="Compact"/>
      </w:pPr>
      <w:r>
        <w:t xml:space="preserve">Inbound Materials (Europe to China Factory): 0.00095 tonnes * 500 km * 0.0673 kgCO2e/tonne-km = 0.03 kgCO2e</w:t>
      </w:r>
    </w:p>
    <w:p>
      <w:pPr>
        <w:numPr>
          <w:ilvl w:val="0"/>
          <w:numId w:val="1007"/>
        </w:numPr>
        <w:pStyle w:val="Compact"/>
      </w:pPr>
      <w:r>
        <w:t xml:space="preserve">Intercontinental Transport (China to Europe Dist. Ctr.): 0.00095 tonnes * 15,000 km * 0.01 kgCO2e/tonne-km = 0.14 kgCO2e</w:t>
      </w:r>
    </w:p>
    <w:p>
      <w:pPr>
        <w:numPr>
          <w:ilvl w:val="0"/>
          <w:numId w:val="1007"/>
        </w:numPr>
        <w:pStyle w:val="Compact"/>
      </w:pPr>
      <w:r>
        <w:rPr>
          <w:bCs/>
          <w:b/>
        </w:rPr>
        <w:t xml:space="preserve">Sub-total (Category 4)</w:t>
      </w:r>
      <w:r>
        <w:t xml:space="preserve"> </w:t>
      </w:r>
      <w:r>
        <w:t xml:space="preserve">= 0.03 + 0.14 = **0.17 kgCO2e**</w:t>
      </w:r>
    </w:p>
    <w:bookmarkEnd w:id="36"/>
    <w:bookmarkStart w:id="37" w:name="X5b70aafc99c239c9cc973ef0b16df8b4bae845d"/>
    <w:p>
      <w:pPr>
        <w:pStyle w:val="Heading4"/>
      </w:pPr>
      <w:r>
        <w:t xml:space="preserve">4.3.3. Category 9: Downstream Transportation and Distribution (Last-Mile)</w:t>
      </w:r>
    </w:p>
    <w:p>
      <w:pPr>
        <w:pStyle w:val="FirstParagraph"/>
      </w:pPr>
      <w:r>
        <w:t xml:space="preserve">Emissions from the final delivery of the product from the European distribution center to the end customer.</w:t>
      </w:r>
    </w:p>
    <w:p>
      <w:pPr>
        <w:numPr>
          <w:ilvl w:val="0"/>
          <w:numId w:val="1008"/>
        </w:numPr>
        <w:pStyle w:val="Compact"/>
      </w:pPr>
      <w:r>
        <w:t xml:space="preserve">Last-Mile Delivery (LCV): 0.25 kgCO2e (allocated per unit delivery over 100 km)</w:t>
      </w:r>
    </w:p>
    <w:p>
      <w:pPr>
        <w:numPr>
          <w:ilvl w:val="0"/>
          <w:numId w:val="1008"/>
        </w:numPr>
        <w:pStyle w:val="Compact"/>
      </w:pPr>
      <w:r>
        <w:rPr>
          <w:bCs/>
          <w:b/>
        </w:rPr>
        <w:t xml:space="preserve">Sub-total (Category 9)</w:t>
      </w:r>
      <w:r>
        <w:t xml:space="preserve"> </w:t>
      </w:r>
      <w:r>
        <w:t xml:space="preserve">= **0.25 kgCO2e**</w:t>
      </w:r>
    </w:p>
    <w:bookmarkEnd w:id="37"/>
    <w:bookmarkStart w:id="38" w:name="category-11-use-of-sold-products"/>
    <w:p>
      <w:pPr>
        <w:pStyle w:val="Heading4"/>
      </w:pPr>
      <w:r>
        <w:t xml:space="preserve">4.3.4. Category 11: Use of Sold Products</w:t>
      </w:r>
    </w:p>
    <w:p>
      <w:pPr>
        <w:pStyle w:val="FirstParagraph"/>
      </w:pPr>
      <w:r>
        <w:t xml:space="preserve">Emissions resulting from the energy consumed by the product during its operational lifespan of 5 years, assuming use in Europe.</w:t>
      </w:r>
    </w:p>
    <w:p>
      <w:pPr>
        <w:numPr>
          <w:ilvl w:val="0"/>
          <w:numId w:val="1009"/>
        </w:numPr>
        <w:pStyle w:val="Compact"/>
      </w:pPr>
      <w:r>
        <w:t xml:space="preserve">Total Energy in Use: 5 years * 20 kWh/year = 100 kWh</w:t>
      </w:r>
    </w:p>
    <w:p>
      <w:pPr>
        <w:numPr>
          <w:ilvl w:val="0"/>
          <w:numId w:val="1009"/>
        </w:numPr>
        <w:pStyle w:val="Compact"/>
      </w:pPr>
      <w:r>
        <w:t xml:space="preserve">Europe Grid Emission Factor: 0.25 kgCO2e/kWh (Assumed Proxy)</w:t>
      </w:r>
    </w:p>
    <w:p>
      <w:pPr>
        <w:numPr>
          <w:ilvl w:val="0"/>
          <w:numId w:val="1009"/>
        </w:numPr>
        <w:pStyle w:val="Compact"/>
      </w:pPr>
      <w:r>
        <w:rPr>
          <w:bCs/>
          <w:b/>
        </w:rPr>
        <w:t xml:space="preserve">Sub-total (Category 11)</w:t>
      </w:r>
      <w:r>
        <w:t xml:space="preserve">: 100 kWh * 0.25 kgCO2e/kWh = **25.00 kgCO2e**</w:t>
      </w:r>
    </w:p>
    <w:bookmarkEnd w:id="38"/>
    <w:bookmarkStart w:id="39" w:name="X9f66eef2700632e081dfe139021cb724ffcd2c5"/>
    <w:p>
      <w:pPr>
        <w:pStyle w:val="Heading4"/>
      </w:pPr>
      <w:r>
        <w:t xml:space="preserve">4.3.5. Category 12: End-of-Life Treatment of Sold Products</w:t>
      </w:r>
    </w:p>
    <w:p>
      <w:pPr>
        <w:pStyle w:val="FirstParagraph"/>
      </w:pPr>
      <w:r>
        <w:t xml:space="preserve">Emissions and avoided emissions associated with the product\'s end-of-life, considering recyclability and circular programs.</w:t>
      </w:r>
    </w:p>
    <w:p>
      <w:pPr>
        <w:numPr>
          <w:ilvl w:val="0"/>
          <w:numId w:val="1010"/>
        </w:numPr>
        <w:pStyle w:val="Compact"/>
      </w:pPr>
      <w:r>
        <w:t xml:space="preserve">Total Product Mass: 0.95 kg</w:t>
      </w:r>
    </w:p>
    <w:p>
      <w:pPr>
        <w:numPr>
          <w:ilvl w:val="0"/>
          <w:numId w:val="1010"/>
        </w:numPr>
        <w:pStyle w:val="Compact"/>
      </w:pPr>
      <w:r>
        <w:t xml:space="preserve">Non-recycled portion (20%): 0.95 kg * (1 - 0.80) = 0.19 kg</w:t>
      </w:r>
    </w:p>
    <w:p>
      <w:pPr>
        <w:numPr>
          <w:ilvl w:val="0"/>
          <w:numId w:val="1010"/>
        </w:numPr>
        <w:pStyle w:val="Compact"/>
      </w:pPr>
      <w:r>
        <w:t xml:space="preserve">EoL Emissions (non-recycled): 0.19 kg * 1.0 kgCO2e/kg = 0.19 kgCO2e</w:t>
      </w:r>
    </w:p>
    <w:p>
      <w:pPr>
        <w:numPr>
          <w:ilvl w:val="0"/>
          <w:numId w:val="1010"/>
        </w:numPr>
        <w:pStyle w:val="Compact"/>
      </w:pPr>
      <w:r>
        <w:rPr>
          <w:bCs/>
          <w:b/>
        </w:rPr>
        <w:t xml:space="preserve">Avoided Emissions from Recycling (80%):</w:t>
      </w:r>
    </w:p>
    <w:p>
      <w:pPr>
        <w:numPr>
          <w:ilvl w:val="1"/>
          <w:numId w:val="1011"/>
        </w:numPr>
        <w:pStyle w:val="Compact"/>
      </w:pPr>
      <w:r>
        <w:t xml:space="preserve">Aluminum: 0.5 kg * 0.80 * 8.0 kgCO2e/kg = -3.20 kgCO2e</w:t>
      </w:r>
    </w:p>
    <w:p>
      <w:pPr>
        <w:numPr>
          <w:ilvl w:val="1"/>
          <w:numId w:val="1011"/>
        </w:numPr>
        <w:pStyle w:val="Compact"/>
      </w:pPr>
      <w:r>
        <w:t xml:space="preserve">ABS Plastic: 0.3 kg * 0.80 * 3.125 kgCO2e/kg = -0.75 kgCO2e</w:t>
      </w:r>
    </w:p>
    <w:p>
      <w:pPr>
        <w:numPr>
          <w:ilvl w:val="1"/>
          <w:numId w:val="1011"/>
        </w:numPr>
        <w:pStyle w:val="Compact"/>
      </w:pPr>
      <w:r>
        <w:t xml:space="preserve">Copper: 0.1 kg * 0.80 * 4.0 kgCO2e/kg = -0.32 kgCO2e</w:t>
      </w:r>
    </w:p>
    <w:p>
      <w:pPr>
        <w:numPr>
          <w:ilvl w:val="1"/>
          <w:numId w:val="1011"/>
        </w:numPr>
        <w:pStyle w:val="Compact"/>
      </w:pPr>
      <w:r>
        <w:t xml:space="preserve">Electronic Board (PCB): 0.05 kg * 0.80 * 185.0 kgCO2e/kg = -7.40 kgCO2e</w:t>
      </w:r>
    </w:p>
    <w:p>
      <w:pPr>
        <w:numPr>
          <w:ilvl w:val="1"/>
          <w:numId w:val="1011"/>
        </w:numPr>
        <w:pStyle w:val="Compact"/>
      </w:pPr>
      <w:r>
        <w:t xml:space="preserve">Total Avoided Emissions = -11.67 kgCO2e</w:t>
      </w:r>
    </w:p>
    <w:p>
      <w:pPr>
        <w:numPr>
          <w:ilvl w:val="0"/>
          <w:numId w:val="1010"/>
        </w:numPr>
        <w:pStyle w:val="Compact"/>
      </w:pPr>
      <w:r>
        <w:rPr>
          <w:bCs/>
          <w:b/>
        </w:rPr>
        <w:t xml:space="preserve">Net Sub-total (Category 12)</w:t>
      </w:r>
      <w:r>
        <w:t xml:space="preserve">: 0.19 kgCO2e (EoL emissions) - 11.67 kgCO2e (Avoided emissions) = **-11.48 kgCO2e**</w:t>
      </w:r>
    </w:p>
    <w:bookmarkEnd w:id="39"/>
    <w:bookmarkEnd w:id="40"/>
    <w:bookmarkStart w:id="41" w:name="total-product-carbon-footprint"/>
    <w:p>
      <w:pPr>
        <w:pStyle w:val="Heading3"/>
      </w:pPr>
      <w:r>
        <w:t xml:space="preserve">4.4. Total Product Carbon Footprint</w:t>
      </w:r>
    </w:p>
    <w:p>
      <w:pPr>
        <w:pStyle w:val="FirstParagraph"/>
      </w:pPr>
      <w:r>
        <w:t xml:space="preserve">The sum of all calculated emissions across the lifecycle stages provides the total PCF for one functional unit of rwovjvjuzu.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 (Manufacturing)</w:t>
            </w:r>
          </w:p>
        </w:tc>
        <w:tc>
          <w:tcPr/>
          <w:p>
            <w:pPr>
              <w:pStyle w:val="Compact"/>
              <w:jc w:val="left"/>
            </w:pPr>
            <w:r>
              <w:t xml:space="preserve">2.48</w:t>
            </w:r>
          </w:p>
        </w:tc>
        <w:tc>
          <w:tcPr/>
          <w:p>
            <w:pPr>
              <w:pStyle w:val="Compact"/>
              <w:jc w:val="left"/>
            </w:pPr>
            <w:r>
              <w:t xml:space="preserve">10.1%</w:t>
            </w:r>
          </w:p>
        </w:tc>
      </w:tr>
      <w:tr>
        <w:tc>
          <w:tcPr/>
          <w:p>
            <w:pPr>
              <w:pStyle w:val="Compact"/>
              <w:jc w:val="left"/>
            </w:pPr>
            <w:r>
              <w:t xml:space="preserve">Scope 3, Category 1: Purchased Goods &amp; Services (Materials)</w:t>
            </w:r>
          </w:p>
        </w:tc>
        <w:tc>
          <w:tcPr/>
          <w:p>
            <w:pPr>
              <w:pStyle w:val="Compact"/>
              <w:jc w:val="left"/>
            </w:pPr>
            <w:r>
              <w:t xml:space="preserve">14.59</w:t>
            </w:r>
          </w:p>
        </w:tc>
        <w:tc>
          <w:tcPr/>
          <w:p>
            <w:pPr>
              <w:pStyle w:val="Compact"/>
              <w:jc w:val="left"/>
            </w:pPr>
            <w:r>
              <w:t xml:space="preserve">59.4%</w:t>
            </w:r>
          </w:p>
        </w:tc>
      </w:tr>
      <w:tr>
        <w:tc>
          <w:tcPr/>
          <w:p>
            <w:pPr>
              <w:pStyle w:val="Compact"/>
              <w:jc w:val="left"/>
            </w:pPr>
            <w:r>
              <w:t xml:space="preserve">Scope 3, Category 4: Upstream Transport &amp; Distribution</w:t>
            </w:r>
          </w:p>
        </w:tc>
        <w:tc>
          <w:tcPr/>
          <w:p>
            <w:pPr>
              <w:pStyle w:val="Compact"/>
              <w:jc w:val="left"/>
            </w:pPr>
            <w:r>
              <w:t xml:space="preserve">0.17</w:t>
            </w:r>
          </w:p>
        </w:tc>
        <w:tc>
          <w:tcPr/>
          <w:p>
            <w:pPr>
              <w:pStyle w:val="Compact"/>
              <w:jc w:val="left"/>
            </w:pPr>
            <w:r>
              <w:t xml:space="preserve">0.7%</w:t>
            </w:r>
          </w:p>
        </w:tc>
      </w:tr>
      <w:tr>
        <w:tc>
          <w:tcPr/>
          <w:p>
            <w:pPr>
              <w:pStyle w:val="Compact"/>
              <w:jc w:val="left"/>
            </w:pPr>
            <w:r>
              <w:t xml:space="preserve">Scope 3, Category 9: Downstream Transport &amp; Distribution (Last-Mile)</w:t>
            </w:r>
          </w:p>
        </w:tc>
        <w:tc>
          <w:tcPr/>
          <w:p>
            <w:pPr>
              <w:pStyle w:val="Compact"/>
              <w:jc w:val="left"/>
            </w:pPr>
            <w:r>
              <w:t xml:space="preserve">0.25</w:t>
            </w:r>
          </w:p>
        </w:tc>
        <w:tc>
          <w:tcPr/>
          <w:p>
            <w:pPr>
              <w:pStyle w:val="Compact"/>
              <w:jc w:val="left"/>
            </w:pPr>
            <w:r>
              <w:t xml:space="preserve">1.0%</w:t>
            </w:r>
          </w:p>
        </w:tc>
      </w:tr>
      <w:tr>
        <w:tc>
          <w:tcPr/>
          <w:p>
            <w:pPr>
              <w:pStyle w:val="Compact"/>
              <w:jc w:val="left"/>
            </w:pPr>
            <w:r>
              <w:t xml:space="preserve">Scope 3, Category 11: Use of Sold Products</w:t>
            </w:r>
          </w:p>
        </w:tc>
        <w:tc>
          <w:tcPr/>
          <w:p>
            <w:pPr>
              <w:pStyle w:val="Compact"/>
              <w:jc w:val="left"/>
            </w:pPr>
            <w:r>
              <w:t xml:space="preserve">25.00</w:t>
            </w:r>
          </w:p>
        </w:tc>
        <w:tc>
          <w:tcPr/>
          <w:p>
            <w:pPr>
              <w:pStyle w:val="Compact"/>
              <w:jc w:val="left"/>
            </w:pPr>
            <w:r>
              <w:t xml:space="preserve">101.7%</w:t>
            </w:r>
          </w:p>
        </w:tc>
      </w:tr>
      <w:tr>
        <w:tc>
          <w:tcPr/>
          <w:p>
            <w:pPr>
              <w:pStyle w:val="Compact"/>
              <w:jc w:val="left"/>
            </w:pPr>
            <w:r>
              <w:t xml:space="preserve">Scope 3, Category 12: End-of-Life Treatment of Sold Products</w:t>
            </w:r>
          </w:p>
        </w:tc>
        <w:tc>
          <w:tcPr/>
          <w:p>
            <w:pPr>
              <w:pStyle w:val="Compact"/>
              <w:jc w:val="left"/>
            </w:pPr>
            <w:r>
              <w:t xml:space="preserve">-11.48</w:t>
            </w:r>
          </w:p>
        </w:tc>
        <w:tc>
          <w:tcPr/>
          <w:p>
            <w:pPr>
              <w:pStyle w:val="Compact"/>
              <w:jc w:val="left"/>
            </w:pPr>
            <w:r>
              <w:t xml:space="preserve">-46.7%</w:t>
            </w:r>
          </w:p>
        </w:tc>
      </w:tr>
      <w:tr>
        <w:tc>
          <w:tcPr/>
          <w:p>
            <w:pPr>
              <w:pStyle w:val="Compact"/>
              <w:jc w:val="left"/>
            </w:pPr>
            <w:r>
              <w:rPr>
                <w:bCs/>
                <w:b/>
              </w:rPr>
              <w:t xml:space="preserve">TOTAL PRODUCT CARBON FOOTPRINT</w:t>
            </w:r>
          </w:p>
        </w:tc>
        <w:tc>
          <w:tcPr/>
          <w:p>
            <w:pPr>
              <w:pStyle w:val="Compact"/>
              <w:jc w:val="left"/>
            </w:pPr>
            <w:r>
              <w:rPr>
                <w:bCs/>
                <w:b/>
              </w:rPr>
              <w:t xml:space="preserve">24.57 kgCO2e</w:t>
            </w:r>
          </w:p>
        </w:tc>
        <w:tc>
          <w:tcPr/>
          <w:p>
            <w:pPr>
              <w:pStyle w:val="Compact"/>
              <w:jc w:val="left"/>
            </w:pPr>
            <w:r>
              <w:rPr>
                <w:bCs/>
                <w:b/>
              </w:rPr>
              <w:t xml:space="preserve">100.0%</w:t>
            </w:r>
          </w:p>
        </w:tc>
      </w:tr>
    </w:tbl>
    <w:p>
      <w:pPr>
        <w:pStyle w:val="BodyText"/>
      </w:pPr>
      <w:r>
        <w:rPr>
          <w:iCs/>
          <w:i/>
        </w:rPr>
        <w:t xml:space="preserve">Note: Percentages may not sum exactly to 100% due to rounding and the inclusion of negative emissions (credits).</w:t>
      </w:r>
    </w:p>
    <w:p>
      <w:r>
        <w:pict>
          <v:rect style="width:0;height:1.5pt" o:hralign="center" o:hrstd="t" o:hr="t"/>
        </w:pict>
      </w:r>
    </w:p>
    <w:bookmarkEnd w:id="41"/>
    <w:bookmarkEnd w:id="42"/>
    <w:bookmarkStart w:id="48" w:name="review-report"/>
    <w:p>
      <w:pPr>
        <w:pStyle w:val="Heading2"/>
      </w:pPr>
      <w:r>
        <w:t xml:space="preserve">5. Review &amp; Report</w:t>
      </w:r>
    </w:p>
    <w:bookmarkStart w:id="43" w:name="hotspot-analysis"/>
    <w:p>
      <w:pPr>
        <w:pStyle w:val="Heading3"/>
      </w:pPr>
      <w:r>
        <w:t xml:space="preserve">5.1. Hotspot Analysis</w:t>
      </w:r>
    </w:p>
    <w:p>
      <w:pPr>
        <w:pStyle w:val="FirstParagraph"/>
      </w:pPr>
      <w:r>
        <w:t xml:space="preserve">The analysis identifies the following primary carbon hotspots for rwovjvjuzu:</w:t>
      </w:r>
    </w:p>
    <w:p>
      <w:pPr>
        <w:numPr>
          <w:ilvl w:val="0"/>
          <w:numId w:val="1012"/>
        </w:numPr>
        <w:pStyle w:val="Compact"/>
      </w:pPr>
      <w:r>
        <w:rPr>
          <w:bCs/>
          <w:b/>
        </w:rPr>
        <w:t xml:space="preserve">Use Phase (25.00 kgCO2e):</w:t>
      </w:r>
      <w:r>
        <w:t xml:space="preserve"> </w:t>
      </w:r>
      <w:r>
        <w:t xml:space="preserve">This stage represents the largest contributor, accounting for 101.7% of the total PCF (before EoL credit). The energy consumption during the product\'s 5-year lifespan significantly impacts its overall footprint, driven by the electricity mix of the region of use.</w:t>
      </w:r>
    </w:p>
    <w:p>
      <w:pPr>
        <w:numPr>
          <w:ilvl w:val="0"/>
          <w:numId w:val="1012"/>
        </w:numPr>
        <w:pStyle w:val="Compact"/>
      </w:pPr>
      <w:r>
        <w:rPr>
          <w:bCs/>
          <w:b/>
        </w:rPr>
        <w:t xml:space="preserve">Purchased Goods &amp; Services (Materials) (14.59 kgCO2e):</w:t>
      </w:r>
      <w:r>
        <w:t xml:space="preserve"> </w:t>
      </w:r>
      <w:r>
        <w:t xml:space="preserve">Raw material production, particularly the Electronic Board (PCB) and Aluminum Casing, contributes substantially to the upstream emissions (59.4% of the total PCF before EoL credit).</w:t>
      </w:r>
    </w:p>
    <w:p>
      <w:pPr>
        <w:numPr>
          <w:ilvl w:val="0"/>
          <w:numId w:val="1012"/>
        </w:numPr>
        <w:pStyle w:val="Compact"/>
      </w:pPr>
      <w:r>
        <w:rPr>
          <w:bCs/>
          <w:b/>
        </w:rPr>
        <w:t xml:space="preserve">Purchased Electricity (Manufacturing) (2.48 kgCO2e):</w:t>
      </w:r>
      <w:r>
        <w:t xml:space="preserve"> </w:t>
      </w:r>
      <w:r>
        <w:t xml:space="preserve">Despite 60% renewable energy usage, the remaining grid electricity in China still contributes a notable portion (10.1%) due to the average grid mix.</w:t>
      </w:r>
    </w:p>
    <w:p>
      <w:pPr>
        <w:numPr>
          <w:ilvl w:val="0"/>
          <w:numId w:val="1012"/>
        </w:numPr>
        <w:pStyle w:val="Compact"/>
      </w:pPr>
      <w:r>
        <w:rPr>
          <w:bCs/>
          <w:b/>
        </w:rPr>
        <w:t xml:space="preserve">Last-Mile Delivery (0.25 kgCO2e):</w:t>
      </w:r>
      <w:r>
        <w:t xml:space="preserve"> </w:t>
      </w:r>
      <w:r>
        <w:t xml:space="preserve">Although a smaller absolute value, last-mile delivery\'s impact per unit can be significant, emphasizing the need for efficient logistics.</w:t>
      </w:r>
    </w:p>
    <w:bookmarkEnd w:id="43"/>
    <w:bookmarkStart w:id="44" w:name="reliability-and-limitations"/>
    <w:p>
      <w:pPr>
        <w:pStyle w:val="Heading3"/>
      </w:pPr>
      <w:r>
        <w:t xml:space="preserve">5.2. Reliability and Limitations</w:t>
      </w:r>
    </w:p>
    <w:p>
      <w:pPr>
        <w:pStyle w:val="FirstParagraph"/>
      </w:pPr>
      <w:r>
        <w:t xml:space="preserve">The reliability of this PCF analysis is dependent on the accuracy and completeness of the input data. Key limitations include:</w:t>
      </w:r>
    </w:p>
    <w:p>
      <w:pPr>
        <w:numPr>
          <w:ilvl w:val="0"/>
          <w:numId w:val="1013"/>
        </w:numPr>
        <w:pStyle w:val="Compact"/>
      </w:pPr>
      <w:r>
        <w:rPr>
          <w:bCs/>
          <w:b/>
        </w:rPr>
        <w:t xml:space="preserve">Emission Factors:</w:t>
      </w:r>
      <w:r>
        <w:t xml:space="preserve"> </w:t>
      </w:r>
      <w:r>
        <w:t xml:space="preserve">While industry-standard emission factors (e.g., from Ecoinvent, DEFRA) have been used, specific supplier-provided primary data would enhance accuracy for material production and transport. Assumed proxy values were used where exact, publicly available factors were not accessible.</w:t>
      </w:r>
    </w:p>
    <w:p>
      <w:pPr>
        <w:numPr>
          <w:ilvl w:val="0"/>
          <w:numId w:val="1013"/>
        </w:numPr>
        <w:pStyle w:val="Compact"/>
      </w:pPr>
      <w:r>
        <w:rPr>
          <w:bCs/>
          <w:b/>
        </w:rPr>
        <w:t xml:space="preserve">Transport Mode &amp; Distance:</w:t>
      </w:r>
      <w:r>
        <w:t xml:space="preserve"> </w:t>
      </w:r>
      <w:r>
        <w:t xml:space="preserve">Intercontinental transport mode and distance were assumed based on common practices, as explicit data for this leg was not provided. Last-mile delivery was allocated per unit.</w:t>
      </w:r>
    </w:p>
    <w:p>
      <w:pPr>
        <w:numPr>
          <w:ilvl w:val="0"/>
          <w:numId w:val="1013"/>
        </w:numPr>
        <w:pStyle w:val="Compact"/>
      </w:pPr>
      <w:r>
        <w:rPr>
          <w:bCs/>
          <w:b/>
        </w:rPr>
        <w:t xml:space="preserve">Use Phase:</w:t>
      </w:r>
      <w:r>
        <w:t xml:space="preserve"> </w:t>
      </w:r>
      <w:r>
        <w:t xml:space="preserve">The assumed European grid emission factor for the use phase is an average and can vary significantly by country and over time.</w:t>
      </w:r>
    </w:p>
    <w:p>
      <w:pPr>
        <w:numPr>
          <w:ilvl w:val="0"/>
          <w:numId w:val="1013"/>
        </w:numPr>
        <w:pStyle w:val="Compact"/>
      </w:pPr>
      <w:r>
        <w:rPr>
          <w:bCs/>
          <w:b/>
        </w:rPr>
        <w:t xml:space="preserve">End-of-Life:</w:t>
      </w:r>
      <w:r>
        <w:t xml:space="preserve"> </w:t>
      </w:r>
      <w:r>
        <w:t xml:space="preserve">The avoided emissions from recycling are based on the assumption that recycled materials directly displace virgin material production. The EoL emission factor for non-recycled waste is a generalized proxy.</w:t>
      </w:r>
    </w:p>
    <w:p>
      <w:pPr>
        <w:numPr>
          <w:ilvl w:val="0"/>
          <w:numId w:val="1013"/>
        </w:numPr>
        <w:pStyle w:val="Compact"/>
      </w:pPr>
      <w:r>
        <w:rPr>
          <w:bCs/>
          <w:b/>
        </w:rPr>
        <w:t xml:space="preserve">2026 GHG Protocol Updates:</w:t>
      </w:r>
      <w:r>
        <w:t xml:space="preserve"> </w:t>
      </w:r>
      <w:r>
        <w:t xml:space="preserve">The 2026 LSR Standard and Scope 3 revisions are in progress. This report applies the available updates and proposed changes; however, final guidance may lead to further refinements.</w:t>
      </w:r>
    </w:p>
    <w:bookmarkEnd w:id="44"/>
    <w:bookmarkStart w:id="47" w:name="recommendations-for-hofrmrmnzh"/>
    <w:p>
      <w:pPr>
        <w:pStyle w:val="Heading3"/>
      </w:pPr>
      <w:r>
        <w:t xml:space="preserve">5.3. Recommendations for hofrmrmnzh</w:t>
      </w:r>
    </w:p>
    <w:p>
      <w:pPr>
        <w:pStyle w:val="FirstParagraph"/>
      </w:pPr>
      <w:r>
        <w:t xml:space="preserve">Based on this PCF analysis, hofrmrmnzh should consider the following actions to reduce the environmental footprint of rwovjvjuzu:</w:t>
      </w:r>
    </w:p>
    <w:p>
      <w:pPr>
        <w:numPr>
          <w:ilvl w:val="0"/>
          <w:numId w:val="1014"/>
        </w:numPr>
        <w:pStyle w:val="Compact"/>
      </w:pPr>
      <w:r>
        <w:rPr>
          <w:bCs/>
          <w:b/>
        </w:rPr>
        <w:t xml:space="preserve">Optimize Use Phase Efficiency:</w:t>
      </w:r>
      <w:r>
        <w:t xml:space="preserve"> </w:t>
      </w:r>
      <w:r>
        <w:t xml:space="preserve">Invest in R&amp;D to enhance the energy efficiency of rwovjvjuzu during its operational lifespan. Explore smart features or lower power modes.</w:t>
      </w:r>
    </w:p>
    <w:p>
      <w:pPr>
        <w:numPr>
          <w:ilvl w:val="0"/>
          <w:numId w:val="1014"/>
        </w:numPr>
        <w:pStyle w:val="Compact"/>
      </w:pPr>
      <w:r>
        <w:rPr>
          <w:bCs/>
          <w:b/>
        </w:rPr>
        <w:t xml:space="preserve">Source Low-Carbon Materials:</w:t>
      </w:r>
      <w:r>
        <w:t xml:space="preserve"> </w:t>
      </w:r>
      <w:r>
        <w:t xml:space="preserve">Engage with suppliers to obtain primary data on material production and explore options for sourcing lower-carbon aluminum, plastics, and electronic components, or incorporate recycled content.</w:t>
      </w:r>
    </w:p>
    <w:p>
      <w:pPr>
        <w:numPr>
          <w:ilvl w:val="0"/>
          <w:numId w:val="1014"/>
        </w:numPr>
        <w:pStyle w:val="Compact"/>
      </w:pPr>
      <w:r>
        <w:rPr>
          <w:bCs/>
          <w:b/>
        </w:rPr>
        <w:t xml:space="preserve">Enhance Last-Mile Logistics:</w:t>
      </w:r>
      <w:r>
        <w:t xml:space="preserve"> </w:t>
      </w:r>
      <w:r>
        <w:t xml:space="preserve">Investigate opportunities to optimize last-mile delivery routes, utilize electric or alternative-fuel vehicles for delivery, and consolidate shipments to reduce per-unit emissions.</w:t>
      </w:r>
    </w:p>
    <w:p>
      <w:pPr>
        <w:numPr>
          <w:ilvl w:val="0"/>
          <w:numId w:val="1014"/>
        </w:numPr>
        <w:pStyle w:val="Compact"/>
      </w:pPr>
      <w:r>
        <w:rPr>
          <w:bCs/>
          <w:b/>
        </w:rPr>
        <w:t xml:space="preserve">Increase Renewable Energy in Manufacturing:</w:t>
      </w:r>
      <w:r>
        <w:t xml:space="preserve"> </w:t>
      </w:r>
      <w:r>
        <w:t xml:space="preserve">While 60% renewable energy usage is commendable, further increasing the percentage of renewable energy in manufacturing operations in China can reduce Scope 2 emissions.</w:t>
      </w:r>
    </w:p>
    <w:p>
      <w:pPr>
        <w:numPr>
          <w:ilvl w:val="0"/>
          <w:numId w:val="1014"/>
        </w:numPr>
        <w:pStyle w:val="Compact"/>
      </w:pPr>
      <w:r>
        <w:rPr>
          <w:bCs/>
          <w:b/>
        </w:rPr>
        <w:t xml:space="preserve">Strengthen Circularity:</w:t>
      </w:r>
      <w:r>
        <w:t xml:space="preserve"> </w:t>
      </w:r>
      <w:r>
        <w:t xml:space="preserve">Continue to support and expand circular/take-back programs and investigate advanced recycling technologies to maximize material recovery and minimize end-of-life impacts.</w:t>
      </w:r>
    </w:p>
    <w:p>
      <w:pPr>
        <w:numPr>
          <w:ilvl w:val="0"/>
          <w:numId w:val="1014"/>
        </w:numPr>
        <w:pStyle w:val="Compact"/>
      </w:pPr>
      <w:r>
        <w:rPr>
          <w:bCs/>
          <w:b/>
        </w:rPr>
        <w:t xml:space="preserve">Data Improvement:</w:t>
      </w:r>
      <w:r>
        <w:t xml:space="preserve"> </w:t>
      </w:r>
      <w:r>
        <w:t xml:space="preserve">Prioritize collecting primary data for all significant Scope 3 categories to improve the accuracy and robustness of future PCF assessments, especially for purchased goods and services, and transportation.</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r>
        <w:t xml:space="preserve"> </w:t>
      </w:r>
      <w:r>
        <w:t xml:space="preserve">of</w:t>
      </w:r>
      <w:r>
        <w:t xml:space="preserve"> </w:t>
      </w:r>
      <w:bookmarkStart w:id="46" w:name="total-pages"/>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rwovjvjuzu</dc:title>
  <dc:creator/>
  <dc:description>High-detail Product Carbon Footprint (PCF) analysis report for rwovjvjuzu, adhering to GHG Protocol standards and 2026 updates, performed by zksmkzvwvv for hofrmrmnzh.</dc:description>
  <dc:language>en</dc:language>
  <cp:keywords/>
  <dcterms:created xsi:type="dcterms:W3CDTF">2026-07-15T09:23:24Z</dcterms:created>
  <dcterms:modified xsi:type="dcterms:W3CDTF">2026-07-15T09:23:24Z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