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rwmrqhsmwq</w:t>
      </w:r>
    </w:p>
    <w:p>
      <w:pPr>
        <w:pStyle w:val="FirstParagraph"/>
      </w:pPr>
      <w:r>
        <w:t xml:space="preserve">carboncalcpcf.com</w:t>
      </w:r>
    </w:p>
    <w:bookmarkStart w:id="21" w:name="product-carbon-footprint-report"/>
    <w:p>
      <w:pPr>
        <w:pStyle w:val="Heading1"/>
      </w:pPr>
      <w:r>
        <w:t xml:space="preserve">Product Carbon Footprint Report</w:t>
      </w:r>
    </w:p>
    <w:bookmarkStart w:id="20" w:name="for-rwmrqhsmwq"/>
    <w:p>
      <w:pPr>
        <w:pStyle w:val="Heading2"/>
      </w:pPr>
      <w:r>
        <w:t xml:space="preserve">for rwmrqhsmwq</w:t>
      </w:r>
    </w:p>
    <w:p>
      <w:pPr>
        <w:pStyle w:val="FirstParagraph"/>
      </w:pPr>
      <w:r>
        <w:t xml:space="preserve">**Protocol Data (Accounting Standard):** GHG Protocol</w:t>
      </w:r>
    </w:p>
    <w:p>
      <w:pPr>
        <w:pStyle w:val="BodyText"/>
      </w:pPr>
      <w:r>
        <w:t xml:space="preserve">**Name of the Company:** mjujnkxgwe</w:t>
      </w:r>
    </w:p>
    <w:p>
      <w:pPr>
        <w:pStyle w:val="BodyText"/>
      </w:pPr>
      <w:r>
        <w:t xml:space="preserve">**Senior Sustainability Consultant:** xeyhxoswzs</w:t>
      </w:r>
    </w:p>
    <w:p>
      <w:pPr>
        <w:pStyle w:val="BodyText"/>
      </w:pPr>
      <w:r>
        <w:t xml:space="preserve">This report is generated based on available data and industry standards, providing an analytical framework for product carbon footprint assessment.</w:t>
      </w:r>
    </w:p>
    <w:bookmarkEnd w:id="20"/>
    <w:bookmarkEnd w:id="21"/>
    <w:bookmarkStart w:id="22" w:name="X1f7b251d1b642e4e0b245fa2a8deecaba21de36"/>
    <w:p>
      <w:pPr>
        <w:pStyle w:val="Heading1"/>
      </w:pPr>
      <w:r>
        <w:t xml:space="preserve">Product Carbon Footprint Report for rwmrqhsmwq</w:t>
      </w:r>
    </w:p>
    <w:p>
      <w:pPr>
        <w:pStyle w:val="FirstParagraph"/>
      </w:pPr>
      <w:r>
        <w:t xml:space="preserve">Generated Date: May 22,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rwmrqhsmwq, manufactured by mjujnkxgwe. Conducted by Senior Sustainability Consultant xeyhxoswzs, this analysis adheres strictly to the GHG Protocol accounting standard, incorporating the latest 2026 Land Sector and Removals (LSR) Standard updates and targeting robust Scope 3 compliance. The study defines the functional unit as 1.0 unit of rwmrqhsmwq, with a system boundary focused on \'factory_gate\' for direct operational emissions, while extending the analysis to cover full lifecycle impacts including Use Phase and End-of-Life stages. The geographic scope considers final production in China with a focus on a European supply chain. This report identifies key emission hotspots across the product\'s lifecycle, providing mjujnkxgwe with actionable insights for emission reduction strategies.</w:t>
      </w:r>
    </w:p>
    <w:p>
      <w:r>
        <w:pict>
          <v:rect style="width:0;height:1.5pt" o:hralign="center" o:hrstd="t" o:hr="t"/>
        </w:pict>
      </w:r>
    </w:p>
    <w:bookmarkEnd w:id="23"/>
    <w:bookmarkStart w:id="28" w:name="methodology-and-standard-adherence"/>
    <w:p>
      <w:pPr>
        <w:pStyle w:val="Heading2"/>
      </w:pPr>
      <w:r>
        <w:t xml:space="preserve">1. Methodology and Standard Adherence</w:t>
      </w:r>
    </w:p>
    <w:p>
      <w:pPr>
        <w:pStyle w:val="FirstParagraph"/>
      </w:pPr>
      <w:r>
        <w:t xml:space="preserve">The Product Carbon Footprint (PCF) analysis for rwmrqhsmwq follows a structured methodology consistent with the GHG Protocol, ensuring accuracy, transparency, and comparability.</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1.0 unit of the product rwmrqhsmwq. This unit serves as the reference basis for all quantified environmental impacts, ensuring a consistent and comparable assessment.</w:t>
      </w:r>
    </w:p>
    <w:p>
      <w:pPr>
        <w:numPr>
          <w:ilvl w:val="0"/>
          <w:numId w:val="1001"/>
        </w:numPr>
        <w:pStyle w:val="Compact"/>
      </w:pPr>
      <w:r>
        <w:rPr>
          <w:bCs/>
          <w:b/>
        </w:rPr>
        <w:t xml:space="preserve">System Boundaries:</w:t>
      </w:r>
      <w:r>
        <w:t xml:space="preserve"> </w:t>
      </w:r>
      <w:r>
        <w:t xml:space="preserve">The primary system boundary for direct operational impact assessment is \'factory_gate\'. This encompasses all processes and emissions from raw material acquisition up to the point the finished product leaves the manufacturing facility. However, in line with comprehensive PCF best practices and specific requirements, the analysis extends to include downstream Use Phase and End-of-Life (EoL) scenarios for a full lifecycle perspective.</w:t>
      </w:r>
    </w:p>
    <w:p>
      <w:pPr>
        <w:numPr>
          <w:ilvl w:val="0"/>
          <w:numId w:val="1001"/>
        </w:numPr>
        <w:pStyle w:val="Compact"/>
      </w:pPr>
      <w:r>
        <w:rPr>
          <w:bCs/>
          <w:b/>
        </w:rPr>
        <w:t xml:space="preserve">Geographic Scope:</w:t>
      </w:r>
      <w:r>
        <w:t xml:space="preserve"> </w:t>
      </w:r>
      <w:r>
        <w:t xml:space="preserve">The final production country for rwmrqhsmwq is China, with a specific focus on supply chain activities originating from and supplying to Europe. This geographic context informs the selection of region-specific emission factors where available.</w:t>
      </w:r>
    </w:p>
    <w:p>
      <w:pPr>
        <w:numPr>
          <w:ilvl w:val="0"/>
          <w:numId w:val="1001"/>
        </w:numPr>
        <w:pStyle w:val="Compact"/>
      </w:pPr>
      <w:r>
        <w:rPr>
          <w:bCs/>
          <w:b/>
        </w:rPr>
        <w:t xml:space="preserve">Allocation:</w:t>
      </w:r>
      <w:r>
        <w:t xml:space="preserve"> </w:t>
      </w:r>
      <w:r>
        <w:t xml:space="preserve">For multi-output processes, allocation of emissions is performed using established methods (e.g., mass, economic, or physical allocation) to ensure that the portion of environmental burden assigned to rwmrqhsmwq is fair and representative.</w:t>
      </w:r>
    </w:p>
    <w:bookmarkEnd w:id="24"/>
    <w:bookmarkStart w:id="25" w:name="ghg-protocol-adherence"/>
    <w:p>
      <w:pPr>
        <w:pStyle w:val="Heading3"/>
      </w:pPr>
      <w:r>
        <w:t xml:space="preserve">1.2. GHG Protocol Adherence</w:t>
      </w:r>
    </w:p>
    <w:p>
      <w:pPr>
        <w:pStyle w:val="FirstParagraph"/>
      </w:pPr>
      <w:r>
        <w:t xml:space="preserve">All emissions are categorized according to the GHG Protocol\'s classification system:</w:t>
      </w:r>
    </w:p>
    <w:p>
      <w:pPr>
        <w:numPr>
          <w:ilvl w:val="0"/>
          <w:numId w:val="1002"/>
        </w:numPr>
        <w:pStyle w:val="Compact"/>
      </w:pPr>
      <w:r>
        <w:rPr>
          <w:bCs/>
          <w:b/>
        </w:rPr>
        <w:t xml:space="preserve">Scope 1:</w:t>
      </w:r>
      <w:r>
        <w:t xml:space="preserve"> </w:t>
      </w:r>
      <w:r>
        <w:t xml:space="preserve">Direct emissions from sources owned or controlled by mjujnkxgwe (e.g., on-site fuel combustion).</w:t>
      </w:r>
    </w:p>
    <w:p>
      <w:pPr>
        <w:numPr>
          <w:ilvl w:val="0"/>
          <w:numId w:val="1002"/>
        </w:numPr>
        <w:pStyle w:val="Compact"/>
      </w:pPr>
      <w:r>
        <w:rPr>
          <w:bCs/>
          <w:b/>
        </w:rPr>
        <w:t xml:space="preserve">Scope 2:</w:t>
      </w:r>
      <w:r>
        <w:t xml:space="preserve"> </w:t>
      </w:r>
      <w:r>
        <w:t xml:space="preserve">Indirect emissions from the generation of purchased energy consumed by mjujnkxgwe (e.g., electricity, heat, or steam).</w:t>
      </w:r>
    </w:p>
    <w:p>
      <w:pPr>
        <w:numPr>
          <w:ilvl w:val="0"/>
          <w:numId w:val="1002"/>
        </w:numPr>
        <w:pStyle w:val="Compact"/>
      </w:pPr>
      <w:r>
        <w:rPr>
          <w:bCs/>
          <w:b/>
        </w:rPr>
        <w:t xml:space="preserve">Scope 3:</w:t>
      </w:r>
      <w:r>
        <w:t xml:space="preserve"> </w:t>
      </w:r>
      <w:r>
        <w:t xml:space="preserve">All other indirect emissions occurring in the value chain of mjujnkxgwe, both upstream and downstream. This includes emissions from purchased goods and services, transportation, use of sold products, and end-of-life treatment of sold products.</w:t>
      </w:r>
    </w:p>
    <w:bookmarkEnd w:id="25"/>
    <w:bookmarkStart w:id="26" w:name="lsr-update-application"/>
    <w:p>
      <w:pPr>
        <w:pStyle w:val="Heading3"/>
      </w:pPr>
      <w:r>
        <w:t xml:space="preserve">1.3. 2026 LSR Update Application</w:t>
      </w:r>
    </w:p>
    <w:p>
      <w:pPr>
        <w:pStyle w:val="FirstParagraph"/>
      </w:pPr>
      <w:r>
        <w:t xml:space="preserve">This analysis applies the principles of the Land Sector and Removals (LSR) Standard, aligning with the 2026 updates for land use and carbon removals. While specific quantifiable data on biogenic carbon flows and removals were not provided in the parameters, the framework acknowledges their importance and would incorporate them in a fully data-rich scenario to accurately reflect the product\'s interaction with land-based carbon cycles.</w:t>
      </w:r>
    </w:p>
    <w:bookmarkEnd w:id="26"/>
    <w:bookmarkStart w:id="27" w:name="scope-3-compliance"/>
    <w:p>
      <w:pPr>
        <w:pStyle w:val="Heading3"/>
      </w:pPr>
      <w:r>
        <w:t xml:space="preserve">1.4. Scope 3 Compliance</w:t>
      </w:r>
    </w:p>
    <w:p>
      <w:pPr>
        <w:pStyle w:val="FirstParagraph"/>
      </w:pPr>
      <w:r>
        <w:t xml:space="preserve">In anticipation of enhanced 2026 requirements, mjujnkxgwe is committed to ensuring at least 95% coverage for Scope 3 emissions reporting. This report aims to capture significant Scope 3 categories to meet this compliance target by providing detailed analysis of upstream materials, transportation, product use, and end-of-life stages.</w:t>
      </w:r>
    </w:p>
    <w:p>
      <w:r>
        <w:pict>
          <v:rect style="width:0;height:1.5pt" o:hralign="center" o:hrstd="t" o:hr="t"/>
        </w:pict>
      </w:r>
    </w:p>
    <w:bookmarkEnd w:id="27"/>
    <w:bookmarkEnd w:id="28"/>
    <w:bookmarkStart w:id="44" w:name="X4188c3f05bbfdb294f27fe0cd630dc3d14ecfe7"/>
    <w:p>
      <w:pPr>
        <w:pStyle w:val="Heading2"/>
      </w:pPr>
      <w:r>
        <w:t xml:space="preserve">2. Product Carbon Footprint Analysis for rwmrqhsmwq</w:t>
      </w:r>
    </w:p>
    <w:p>
      <w:pPr>
        <w:pStyle w:val="FirstParagraph"/>
      </w:pPr>
      <w:r>
        <w:t xml:space="preserve">This section details the specific parameters and calculations used to determine the PCF for rwmrqhsmwq.</w:t>
      </w:r>
    </w:p>
    <w:bookmarkStart w:id="29" w:name="functional-unit"/>
    <w:p>
      <w:pPr>
        <w:pStyle w:val="Heading3"/>
      </w:pPr>
      <w:r>
        <w:t xml:space="preserve">2.1. Functional Unit</w:t>
      </w:r>
    </w:p>
    <w:p>
      <w:pPr>
        <w:pStyle w:val="FirstParagraph"/>
      </w:pPr>
      <w:r>
        <w:t xml:space="preserve">The functional unit for this analysis is defined as: **1.0 unit of rwmrqhsmwq**.</w:t>
      </w:r>
    </w:p>
    <w:bookmarkEnd w:id="29"/>
    <w:bookmarkStart w:id="30" w:name="system-boundary"/>
    <w:p>
      <w:pPr>
        <w:pStyle w:val="Heading3"/>
      </w:pPr>
      <w:r>
        <w:t xml:space="preserve">2.2. System Boundary</w:t>
      </w:r>
    </w:p>
    <w:p>
      <w:pPr>
        <w:pStyle w:val="FirstParagraph"/>
      </w:pPr>
      <w:r>
        <w:t xml:space="preserve">The system boundary for direct operational assessment is \'factory_gate\'. However, for a comprehensive lifecycle view, the analysis extends to cover the Use Phase and End-of-Life of the product.</w:t>
      </w:r>
    </w:p>
    <w:bookmarkEnd w:id="30"/>
    <w:bookmarkStart w:id="31" w:name="geographic-scope"/>
    <w:p>
      <w:pPr>
        <w:pStyle w:val="Heading3"/>
      </w:pPr>
      <w:r>
        <w:t xml:space="preserve">2.3. Geographic Scope</w:t>
      </w:r>
    </w:p>
    <w:p>
      <w:pPr>
        <w:pStyle w:val="FirstParagraph"/>
      </w:pPr>
      <w:r>
        <w:t xml:space="preserve">Final Production Country: China</w:t>
      </w:r>
      <w:r>
        <w:br/>
      </w:r>
      <w:r>
        <w:t xml:space="preserve">Supply Chain Focus: Europe Focused</w:t>
      </w:r>
    </w:p>
    <w:bookmarkEnd w:id="31"/>
    <w:bookmarkStart w:id="37" w:name="Xa3c0e61c7da622f07bf18dfacf68d578ee78928"/>
    <w:p>
      <w:pPr>
        <w:pStyle w:val="Heading3"/>
      </w:pPr>
      <w:r>
        <w:t xml:space="preserve">2.4. Data Collection and Lifecycle Inventory Mapping (Steps 2 &amp; 3)</w:t>
      </w:r>
    </w:p>
    <w:p>
      <w:pPr>
        <w:pStyle w:val="FirstParagraph"/>
      </w:pPr>
      <w:r>
        <w:t xml:space="preserve">Detailed data points were collected or estimated based on industry averages (e.g., Ecoinvent/DEFRA emission factors) and the specific parameters provided. This section outlines the inventory of materials and energy inputs across the product\'s lifecycle.</w:t>
      </w:r>
    </w:p>
    <w:bookmarkStart w:id="32" w:name="detailed-bill-of-materials-bom"/>
    <w:p>
      <w:pPr>
        <w:pStyle w:val="Heading4"/>
      </w:pPr>
      <w:r>
        <w:t xml:space="preserve">2.4.1. Detailed Bill of Materials (BOM)</w:t>
      </w:r>
    </w:p>
    <w:p>
      <w:pPr>
        <w:pStyle w:val="FirstParagraph"/>
      </w:pPr>
      <w:r>
        <w:t xml:space="preserve">The detailed Bill of Materials (BOM) for rwmrqhsmwq is a critical input for high-accuracy material impact calculation. The provided BOM data, identified as `sxdntzxy`, adheres to the format: ID, Description, Category, Process, Qty, Unit, Emission Factor, Total Carbon. For illustrative purposes, a representative BOM table is presented below, demonstrating how the specific values from `sxdntzxy` would be incorporated into the calculation. In a real scenario, the full content of `sxdntzxy` would populate this table.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Illustrative Raw Material 1</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Illustrative Component 2</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unit</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3</w:t>
            </w:r>
          </w:p>
        </w:tc>
        <w:tc>
          <w:tcPr/>
          <w:p>
            <w:pPr>
              <w:pStyle w:val="Compact"/>
              <w:jc w:val="left"/>
            </w:pPr>
            <w:r>
              <w:t xml:space="preserve">Illustrative Packaging</w:t>
            </w:r>
          </w:p>
        </w:tc>
        <w:tc>
          <w:tcPr/>
          <w:p>
            <w:pPr>
              <w:pStyle w:val="Compact"/>
              <w:jc w:val="left"/>
            </w:pPr>
            <w:r>
              <w:t xml:space="preserve">Paper/Card</w:t>
            </w:r>
          </w:p>
        </w:tc>
        <w:tc>
          <w:tcPr/>
          <w:p>
            <w:pPr>
              <w:pStyle w:val="Compact"/>
              <w:jc w:val="left"/>
            </w:pPr>
            <w:r>
              <w:t xml:space="preserve">Printing &amp; 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0.96</w:t>
            </w:r>
          </w:p>
        </w:tc>
      </w:tr>
      <w:tr>
        <w:tc>
          <w:tcPr>
            <w:gridSpan w:val="7"/>
          </w:tcPr>
          <w:p>
            <w:pPr>
              <w:pStyle w:val="Compact"/>
              <w:jc w:val="right"/>
            </w:pPr>
            <w:r>
              <w:t xml:space="preserve">Sub-Total Material Carbon (Illustrative)</w:t>
            </w:r>
          </w:p>
        </w:tc>
        <w:tc>
          <w:tcPr/>
          <w:p>
            <w:pPr>
              <w:pStyle w:val="Compact"/>
              <w:jc w:val="left"/>
            </w:pPr>
            <w:r>
              <w:t xml:space="preserve">37.96</w:t>
            </w:r>
          </w:p>
        </w:tc>
      </w:tr>
    </w:tbl>
    <w:p>
      <w:pPr>
        <w:pStyle w:val="BodyText"/>
      </w:pPr>
      <w:r>
        <w:rPr>
          <w:iCs/>
          <w:i/>
        </w:rPr>
        <w:t xml:space="preserve">Note: The specific values from the detailed BOM (`sxdntzxy`) would replace these illustrative figures for precise calculations.</w:t>
      </w:r>
    </w:p>
    <w:bookmarkEnd w:id="32"/>
    <w:bookmarkStart w:id="33" w:name="production-energy-inputs"/>
    <w:p>
      <w:pPr>
        <w:pStyle w:val="Heading4"/>
      </w:pPr>
      <w:r>
        <w:t xml:space="preserve">2.4.2. Production Energy Inputs</w:t>
      </w:r>
    </w:p>
    <w:p>
      <w:pPr>
        <w:pStyle w:val="FirstParagraph"/>
      </w:pPr>
      <w:r>
        <w:t xml:space="preserve">The energy consumed during the production phase significantly contributes to the PCF. The following parameters were provided:</w:t>
      </w:r>
    </w:p>
    <w:p>
      <w:pPr>
        <w:numPr>
          <w:ilvl w:val="0"/>
          <w:numId w:val="1003"/>
        </w:numPr>
        <w:pStyle w:val="Compact"/>
      </w:pPr>
      <w:r>
        <w:rPr>
          <w:bCs/>
          <w:b/>
        </w:rPr>
        <w:t xml:space="preserve">Renewable Energy Usage:</w:t>
      </w:r>
      <w:r>
        <w:t xml:space="preserve"> </w:t>
      </w:r>
      <w:r>
        <w:t xml:space="preserve">`xldfffghyg`</w:t>
      </w:r>
    </w:p>
    <w:p>
      <w:pPr>
        <w:numPr>
          <w:ilvl w:val="0"/>
          <w:numId w:val="1003"/>
        </w:numPr>
        <w:pStyle w:val="Compact"/>
      </w:pPr>
      <w:r>
        <w:rPr>
          <w:bCs/>
          <w:b/>
        </w:rPr>
        <w:t xml:space="preserve">Energy Intensity (kWh/unit):</w:t>
      </w:r>
      <w:r>
        <w:t xml:space="preserve"> </w:t>
      </w:r>
      <w:r>
        <w:t xml:space="preserve">`fnnjyxnqqh`</w:t>
      </w:r>
    </w:p>
    <w:p>
      <w:pPr>
        <w:pStyle w:val="FirstParagraph"/>
      </w:pPr>
      <w:r>
        <w:t xml:space="preserve">For illustrative calculation, assuming an Energy Intensity of</w:t>
      </w:r>
      <w:r>
        <w:t xml:space="preserve"> </w:t>
      </w:r>
      <w:r>
        <w:rPr>
          <w:bCs/>
          <w:b/>
        </w:rPr>
        <w:t xml:space="preserve">50 kWh/unit</w:t>
      </w:r>
      <w:r>
        <w:t xml:space="preserve"> </w:t>
      </w:r>
      <w:r>
        <w:t xml:space="preserve">and Renewable Energy Usage of</w:t>
      </w:r>
      <w:r>
        <w:t xml:space="preserve"> </w:t>
      </w:r>
      <w:r>
        <w:rPr>
          <w:bCs/>
          <w:b/>
        </w:rPr>
        <w:t xml:space="preserve">70%</w:t>
      </w:r>
      <w:r>
        <w:t xml:space="preserve">. The remaining 30% of electricity is sourced from the grid. Assuming a grid emission factor for China of approximately 0.6 kg CO2e/kWh.</w:t>
      </w:r>
    </w:p>
    <w:p>
      <w:pPr>
        <w:pStyle w:val="BodyText"/>
      </w:pPr>
      <w:r>
        <w:t xml:space="preserve">Illustrative calculation:</w:t>
      </w:r>
    </w:p>
    <w:p>
      <w:pPr>
        <w:numPr>
          <w:ilvl w:val="0"/>
          <w:numId w:val="1004"/>
        </w:numPr>
        <w:pStyle w:val="Compact"/>
      </w:pPr>
      <w:r>
        <w:t xml:space="preserve">Non-renewable energy portion: 50 kWh/unit * (1 - 0.70) = 15 kWh/unit</w:t>
      </w:r>
    </w:p>
    <w:p>
      <w:pPr>
        <w:numPr>
          <w:ilvl w:val="0"/>
          <w:numId w:val="1004"/>
        </w:numPr>
        <w:pStyle w:val="Compact"/>
      </w:pPr>
      <w:r>
        <w:t xml:space="preserve">Emissions from purchased electricity: 15 kWh/unit * 0.6 kg CO2e/kWh = 9.0 kg CO2e/unit</w:t>
      </w:r>
    </w:p>
    <w:bookmarkEnd w:id="33"/>
    <w:bookmarkStart w:id="34" w:name="transport-logistics"/>
    <w:p>
      <w:pPr>
        <w:pStyle w:val="Heading4"/>
      </w:pPr>
      <w:r>
        <w:t xml:space="preserve">2.4.3. Transport Logistics</w:t>
      </w:r>
    </w:p>
    <w:p>
      <w:pPr>
        <w:pStyle w:val="FirstParagraph"/>
      </w:pPr>
      <w:r>
        <w:t xml:space="preserve">Transportation of raw materials and components to the production facility (inbound logistics) is a key Scope 3 category. The following logistics data was provided:</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`gsixlorzzy`</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For illustrative calculation, assuming a Transport Mode of</w:t>
      </w:r>
      <w:r>
        <w:t xml:space="preserve"> </w:t>
      </w:r>
      <w:r>
        <w:rPr>
          <w:bCs/>
          <w:b/>
        </w:rPr>
        <w:t xml:space="preserve">Road Freight</w:t>
      </w:r>
      <w:r>
        <w:t xml:space="preserve">, a Transport Distance of</w:t>
      </w:r>
      <w:r>
        <w:t xml:space="preserve"> </w:t>
      </w:r>
      <w:r>
        <w:rPr>
          <w:bCs/>
          <w:b/>
        </w:rPr>
        <w:t xml:space="preserve">1000 km</w:t>
      </w:r>
      <w:r>
        <w:t xml:space="preserve"> </w:t>
      </w:r>
      <w:r>
        <w:t xml:space="preserve">for inbound materials (average distance within Europe or to China), and a total product weight (including materials) of</w:t>
      </w:r>
      <w:r>
        <w:t xml:space="preserve"> </w:t>
      </w:r>
      <w:r>
        <w:rPr>
          <w:bCs/>
          <w:b/>
        </w:rPr>
        <w:t xml:space="preserve">10 kg</w:t>
      </w:r>
      <w:r>
        <w:t xml:space="preserve">. An average road freight emission factor (e.g., HGV &gt; 32 tonnes) is approximately 0.1 kg CO2e/tonne-km.</w:t>
      </w:r>
    </w:p>
    <w:p>
      <w:pPr>
        <w:pStyle w:val="BodyText"/>
      </w:pPr>
      <w:r>
        <w:t xml:space="preserve">Illustrative calculation for inbound transport (Scope 3, Category 4 - Upstream Transportation and Distribution):</w:t>
      </w:r>
    </w:p>
    <w:p>
      <w:pPr>
        <w:numPr>
          <w:ilvl w:val="0"/>
          <w:numId w:val="1006"/>
        </w:numPr>
        <w:pStyle w:val="Compact"/>
      </w:pPr>
      <w:r>
        <w:t xml:space="preserve">Emissions: (10 kg / 1000 kg/tonne) * 1000 km * 0.1 kg CO2e/tonne-km = 1.0 kg CO2e/unit</w:t>
      </w:r>
    </w:p>
    <w:p>
      <w:pPr>
        <w:pStyle w:val="FirstParagraph"/>
      </w:pPr>
      <w:r>
        <w:rPr>
          <w:iCs/>
          <w:i/>
        </w:rPr>
        <w:t xml:space="preserve">Note: The specific modes (`Select Mode`) and distances (`gsixlorzzy`) would enable more precise calculation. `Delivery Type` would be relevant for downstream distribution beyond the factory gate, which would also fall under Scope 3.</w:t>
      </w:r>
    </w:p>
    <w:bookmarkEnd w:id="34"/>
    <w:bookmarkStart w:id="35" w:name="use-phase"/>
    <w:p>
      <w:pPr>
        <w:pStyle w:val="Heading4"/>
      </w:pPr>
      <w:r>
        <w:t xml:space="preserve">2.4.4. Use Phase</w:t>
      </w:r>
    </w:p>
    <w:p>
      <w:pPr>
        <w:pStyle w:val="FirstParagraph"/>
      </w:pPr>
      <w:r>
        <w:t xml:space="preserve">The emissions generated during the product\'s use by the end-consumer are critical for a full lifecycle assessment. The provided parameters are:</w:t>
      </w:r>
    </w:p>
    <w:p>
      <w:pPr>
        <w:numPr>
          <w:ilvl w:val="0"/>
          <w:numId w:val="1007"/>
        </w:numPr>
        <w:pStyle w:val="Compact"/>
      </w:pPr>
      <w:r>
        <w:rPr>
          <w:bCs/>
          <w:b/>
        </w:rPr>
        <w:t xml:space="preserve">Product Lifespan:</w:t>
      </w:r>
      <w:r>
        <w:t xml:space="preserve"> </w:t>
      </w:r>
      <w:r>
        <w:t xml:space="preserve">`xfnzuhgltr`</w:t>
      </w:r>
    </w:p>
    <w:p>
      <w:pPr>
        <w:numPr>
          <w:ilvl w:val="0"/>
          <w:numId w:val="1007"/>
        </w:numPr>
        <w:pStyle w:val="Compact"/>
      </w:pPr>
      <w:r>
        <w:rPr>
          <w:bCs/>
          <w:b/>
        </w:rPr>
        <w:t xml:space="preserve">Energy Consumption in Use:</w:t>
      </w:r>
      <w:r>
        <w:t xml:space="preserve"> </w:t>
      </w:r>
      <w:r>
        <w:t xml:space="preserve">`jtwmtrdwxh`</w:t>
      </w:r>
    </w:p>
    <w:p>
      <w:pPr>
        <w:pStyle w:val="FirstParagraph"/>
      </w:pPr>
      <w:r>
        <w:t xml:space="preserve">For illustrative calculation, assuming a Product Lifespan of</w:t>
      </w:r>
      <w:r>
        <w:t xml:space="preserve"> </w:t>
      </w:r>
      <w:r>
        <w:rPr>
          <w:bCs/>
          <w:b/>
        </w:rPr>
        <w:t xml:space="preserve">5 years</w:t>
      </w:r>
      <w:r>
        <w:t xml:space="preserve"> </w:t>
      </w:r>
      <w:r>
        <w:t xml:space="preserve">and Energy Consumption in Use of</w:t>
      </w:r>
      <w:r>
        <w:t xml:space="preserve"> </w:t>
      </w:r>
      <w:r>
        <w:rPr>
          <w:bCs/>
          <w:b/>
        </w:rPr>
        <w:t xml:space="preserve">100 kWh/year</w:t>
      </w:r>
      <w:r>
        <w:t xml:space="preserve">. An average electricity grid emission factor for the use phase (e.g., global average) is assumed to be 0.5 kg CO2e/kWh.</w:t>
      </w:r>
    </w:p>
    <w:p>
      <w:pPr>
        <w:pStyle w:val="BodyText"/>
      </w:pPr>
      <w:r>
        <w:t xml:space="preserve">Illustrative calculation (Scope 3, Category 11 - Use of Sold Products):</w:t>
      </w:r>
    </w:p>
    <w:p>
      <w:pPr>
        <w:numPr>
          <w:ilvl w:val="0"/>
          <w:numId w:val="1008"/>
        </w:numPr>
        <w:pStyle w:val="Compact"/>
      </w:pPr>
      <w:r>
        <w:t xml:space="preserve">Total Use Phase Energy: 100 kWh/year * 5 years = 500 kWh/unit</w:t>
      </w:r>
    </w:p>
    <w:p>
      <w:pPr>
        <w:numPr>
          <w:ilvl w:val="0"/>
          <w:numId w:val="1008"/>
        </w:numPr>
        <w:pStyle w:val="Compact"/>
      </w:pPr>
      <w:r>
        <w:t xml:space="preserve">Emissions: 500 kWh/unit * 0.5 kg CO2e/kWh = 250.0 kg CO2e/unit</w:t>
      </w:r>
    </w:p>
    <w:bookmarkEnd w:id="35"/>
    <w:bookmarkStart w:id="36" w:name="end-of-life-eol-scenarios"/>
    <w:p>
      <w:pPr>
        <w:pStyle w:val="Heading4"/>
      </w:pPr>
      <w:r>
        <w:t xml:space="preserve">2.4.5. End-of-Life (EoL) Scenarios</w:t>
      </w:r>
    </w:p>
    <w:p>
      <w:pPr>
        <w:pStyle w:val="FirstParagraph"/>
      </w:pPr>
      <w:r>
        <w:t xml:space="preserve">The environmental impact at the end of the product\'s life is considered, taking into account circular economy principles. The parameters provided are:</w:t>
      </w:r>
    </w:p>
    <w:p>
      <w:pPr>
        <w:numPr>
          <w:ilvl w:val="0"/>
          <w:numId w:val="1009"/>
        </w:numPr>
        <w:pStyle w:val="Compact"/>
      </w:pPr>
      <w:r>
        <w:rPr>
          <w:bCs/>
          <w:b/>
        </w:rPr>
        <w:t xml:space="preserve">Recyclability Percentage:</w:t>
      </w:r>
      <w:r>
        <w:t xml:space="preserve"> </w:t>
      </w:r>
      <w:r>
        <w:t xml:space="preserve">`snhozeplyr`</w:t>
      </w:r>
    </w:p>
    <w:p>
      <w:pPr>
        <w:numPr>
          <w:ilvl w:val="0"/>
          <w:numId w:val="1009"/>
        </w:numPr>
        <w:pStyle w:val="Compact"/>
      </w:pPr>
      <w:r>
        <w:rPr>
          <w:bCs/>
          <w:b/>
        </w:rPr>
        <w:t xml:space="preserve">Circular/Take-back Programs:</w:t>
      </w:r>
      <w:r>
        <w:t xml:space="preserve"> </w:t>
      </w:r>
      <w:r>
        <w:t xml:space="preserve">`pqivxxdonm`</w:t>
      </w:r>
    </w:p>
    <w:p>
      <w:pPr>
        <w:pStyle w:val="FirstParagraph"/>
      </w:pPr>
      <w:r>
        <w:t xml:space="preserve">For illustrative calculation, assuming a Recyclability Percentage of</w:t>
      </w:r>
      <w:r>
        <w:t xml:space="preserve"> </w:t>
      </w:r>
      <w:r>
        <w:rPr>
          <w:bCs/>
          <w:b/>
        </w:rPr>
        <w:t xml:space="preserve">80%</w:t>
      </w:r>
      <w:r>
        <w:t xml:space="preserve"> </w:t>
      </w:r>
      <w:r>
        <w:t xml:space="preserve">and active Circular/Take-back Programs (`pqivxxdonm`). Assuming the total product weight is</w:t>
      </w:r>
      <w:r>
        <w:t xml:space="preserve"> </w:t>
      </w:r>
      <w:r>
        <w:rPr>
          <w:bCs/>
          <w:b/>
        </w:rPr>
        <w:t xml:space="preserve">10 kg</w:t>
      </w:r>
      <w:r>
        <w:t xml:space="preserve">. If 80% is recycled, 20% (2 kg) goes to landfill.</w:t>
      </w:r>
    </w:p>
    <w:p>
      <w:pPr>
        <w:numPr>
          <w:ilvl w:val="0"/>
          <w:numId w:val="1010"/>
        </w:numPr>
        <w:pStyle w:val="Compact"/>
      </w:pPr>
      <w:r>
        <w:t xml:space="preserve">Landfill emissions factor: 1.0 kg CO2e/kg (illustrative)</w:t>
      </w:r>
    </w:p>
    <w:p>
      <w:pPr>
        <w:numPr>
          <w:ilvl w:val="0"/>
          <w:numId w:val="1010"/>
        </w:numPr>
        <w:pStyle w:val="Compact"/>
      </w:pPr>
      <w:r>
        <w:t xml:space="preserve">Recycling credit: -1.5 kg CO2e/kg (illustrative, for displacement of virgin materials)</w:t>
      </w:r>
    </w:p>
    <w:p>
      <w:pPr>
        <w:pStyle w:val="FirstParagraph"/>
      </w:pPr>
      <w:r>
        <w:t xml:space="preserve">Illustrative calculation (Scope 3, Category 12 - End-of-Life Treatment of Sold Products):</w:t>
      </w:r>
    </w:p>
    <w:p>
      <w:pPr>
        <w:numPr>
          <w:ilvl w:val="0"/>
          <w:numId w:val="1011"/>
        </w:numPr>
        <w:pStyle w:val="Compact"/>
      </w:pPr>
      <w:r>
        <w:t xml:space="preserve">Emissions from landfill: 2 kg * 1.0 kg CO2e/kg = 2.0 kg CO2e</w:t>
      </w:r>
    </w:p>
    <w:p>
      <w:pPr>
        <w:numPr>
          <w:ilvl w:val="0"/>
          <w:numId w:val="1011"/>
        </w:numPr>
        <w:pStyle w:val="Compact"/>
      </w:pPr>
      <w:r>
        <w:t xml:space="preserve">Recycling credit: (8 kg) * (-1.5 kg CO2e/kg) = -12.0 kg CO2e</w:t>
      </w:r>
    </w:p>
    <w:p>
      <w:pPr>
        <w:numPr>
          <w:ilvl w:val="0"/>
          <w:numId w:val="1011"/>
        </w:numPr>
        <w:pStyle w:val="Compact"/>
      </w:pPr>
      <w:r>
        <w:t xml:space="preserve">Net EoL Emissions: 2.0 - 12.0 = -10.0 kg CO2e/unit (a net carbon removal/credit for the product)</w:t>
      </w:r>
    </w:p>
    <w:bookmarkEnd w:id="36"/>
    <w:bookmarkEnd w:id="37"/>
    <w:bookmarkStart w:id="42" w:name="emissions-calculation-step-4"/>
    <w:p>
      <w:pPr>
        <w:pStyle w:val="Heading3"/>
      </w:pPr>
      <w:r>
        <w:t xml:space="preserve">2.5. Emissions Calculation (Step 4)</w:t>
      </w:r>
    </w:p>
    <w:p>
      <w:pPr>
        <w:pStyle w:val="FirstParagraph"/>
      </w:pPr>
      <w:r>
        <w:t xml:space="preserve">The total Product Carbon Footprint is calculated by summing emissions across all relevant lifecycle stages, categorized by GHG Protocol scopes. Industry-standard emission factors (e.g., from Ecoinvent/DEFRA) would be used for accurate quantification. The following calculations are illustrative, based on the assumed numerical values for the provided parameters.</w:t>
      </w:r>
    </w:p>
    <w:bookmarkStart w:id="38" w:name="scope-1-emissions"/>
    <w:p>
      <w:pPr>
        <w:pStyle w:val="Heading4"/>
      </w:pPr>
      <w:r>
        <w:t xml:space="preserve">2.5.1. Scope 1 Emissions</w:t>
      </w:r>
    </w:p>
    <w:p>
      <w:pPr>
        <w:pStyle w:val="FirstParagraph"/>
      </w:pPr>
      <w:r>
        <w:t xml:space="preserve">For a \'factory_gate\' system boundary primarily focused on product PCF without specified direct fuel combustion at the manufacturing site, Scope 1 emissions are assumed to be negligible or zero for this analysis. If mjujnkxgwe had direct emissions from owned/controlled sources for rwmrqhsmwq\'s production, they would be quantified here.</w:t>
      </w:r>
    </w:p>
    <w:p>
      <w:pPr>
        <w:numPr>
          <w:ilvl w:val="0"/>
          <w:numId w:val="1012"/>
        </w:numPr>
        <w:pStyle w:val="Compact"/>
      </w:pPr>
      <w:r>
        <w:rPr>
          <w:bCs/>
          <w:b/>
        </w:rPr>
        <w:t xml:space="preserve">Total Scope 1 Emissions:</w:t>
      </w:r>
      <w:r>
        <w:t xml:space="preserve"> </w:t>
      </w:r>
      <w:r>
        <w:t xml:space="preserve">0.0 kg CO2e/unit (Illustrative)</w:t>
      </w:r>
    </w:p>
    <w:bookmarkEnd w:id="38"/>
    <w:bookmarkStart w:id="39" w:name="scope-2-emissions"/>
    <w:p>
      <w:pPr>
        <w:pStyle w:val="Heading4"/>
      </w:pPr>
      <w:r>
        <w:t xml:space="preserve">2.5.2. Scope 2 Emissions</w:t>
      </w:r>
    </w:p>
    <w:p>
      <w:pPr>
        <w:pStyle w:val="FirstParagraph"/>
      </w:pPr>
      <w:r>
        <w:t xml:space="preserve">These are indirect emissions from the generation of purchased electricity for the production of rwmrqhsmwq.</w:t>
      </w:r>
    </w:p>
    <w:p>
      <w:pPr>
        <w:numPr>
          <w:ilvl w:val="0"/>
          <w:numId w:val="1013"/>
        </w:numPr>
        <w:pStyle w:val="Compact"/>
      </w:pPr>
      <w:r>
        <w:rPr>
          <w:bCs/>
          <w:b/>
        </w:rPr>
        <w:t xml:space="preserve">Total Scope 2 Emissions:</w:t>
      </w:r>
      <w:r>
        <w:t xml:space="preserve"> </w:t>
      </w:r>
      <w:r>
        <w:t xml:space="preserve">9.0 kg CO2e/unit (Illustrative, from production energy)</w:t>
      </w:r>
    </w:p>
    <w:bookmarkEnd w:id="39"/>
    <w:bookmarkStart w:id="40" w:name="scope-3-emissions"/>
    <w:p>
      <w:pPr>
        <w:pStyle w:val="Heading4"/>
      </w:pPr>
      <w:r>
        <w:t xml:space="preserve">2.5.3. Scope 3 Emissions</w:t>
      </w:r>
    </w:p>
    <w:p>
      <w:pPr>
        <w:pStyle w:val="FirstParagraph"/>
      </w:pPr>
      <w:r>
        <w:t xml:space="preserve">Scope 3 encompasses all other indirect emissions in the value chain.</w:t>
      </w:r>
    </w:p>
    <w:p>
      <w:pPr>
        <w:numPr>
          <w:ilvl w:val="0"/>
          <w:numId w:val="1014"/>
        </w:numPr>
        <w:pStyle w:val="Compact"/>
      </w:pPr>
      <w:r>
        <w:rPr>
          <w:bCs/>
          <w:b/>
        </w:rPr>
        <w:t xml:space="preserve">Upstream Emissions (Category 1 - Purchased Goods &amp; Services, Category 4 - Upstream Transportation):</w:t>
      </w:r>
    </w:p>
    <w:p>
      <w:pPr>
        <w:numPr>
          <w:ilvl w:val="1"/>
          <w:numId w:val="1015"/>
        </w:numPr>
        <w:pStyle w:val="Compact"/>
      </w:pPr>
      <w:r>
        <w:t xml:space="preserve">Materials (from BOM, `sxdntzxy`): 37.96 kg CO2e/unit (Illustrative)</w:t>
      </w:r>
    </w:p>
    <w:p>
      <w:pPr>
        <w:numPr>
          <w:ilvl w:val="1"/>
          <w:numId w:val="1015"/>
        </w:numPr>
        <w:pStyle w:val="Compact"/>
      </w:pPr>
      <w:r>
        <w:t xml:space="preserve">Inbound Logistics (`Select Mode`, `gsixlorzzy`): 1.0 kg CO2e/unit (Illustrative)</w:t>
      </w:r>
    </w:p>
    <w:p>
      <w:pPr>
        <w:numPr>
          <w:ilvl w:val="0"/>
          <w:numId w:val="1014"/>
        </w:numPr>
        <w:pStyle w:val="Compact"/>
      </w:pPr>
      <w:r>
        <w:rPr>
          <w:bCs/>
          <w:b/>
        </w:rPr>
        <w:t xml:space="preserve">Use Phase Emissions (Category 11 - Use of Sold Products):</w:t>
      </w:r>
    </w:p>
    <w:p>
      <w:pPr>
        <w:numPr>
          <w:ilvl w:val="1"/>
          <w:numId w:val="1016"/>
        </w:numPr>
        <w:pStyle w:val="Compact"/>
      </w:pPr>
      <w:r>
        <w:t xml:space="preserve">Energy Consumption in Use (`xfnzuhgltr`, `jtwmtrdwxh`): 250.0 kg CO2e/unit (Illustrative)</w:t>
      </w:r>
    </w:p>
    <w:p>
      <w:pPr>
        <w:numPr>
          <w:ilvl w:val="0"/>
          <w:numId w:val="1014"/>
        </w:numPr>
        <w:pStyle w:val="Compact"/>
      </w:pPr>
      <w:r>
        <w:rPr>
          <w:bCs/>
          <w:b/>
        </w:rPr>
        <w:t xml:space="preserve">End-of-Life Emissions (Category 12 - End-of-Life Treatment of Sold Products):</w:t>
      </w:r>
    </w:p>
    <w:p>
      <w:pPr>
        <w:numPr>
          <w:ilvl w:val="1"/>
          <w:numId w:val="1017"/>
        </w:numPr>
        <w:pStyle w:val="Compact"/>
      </w:pPr>
      <w:r>
        <w:t xml:space="preserve">Recyclability and Circular Programs (`snhozeplyr`, `pqivxxdonm`): -10.0 kg CO2e/unit (Illustrative, net credit)</w:t>
      </w:r>
    </w:p>
    <w:p>
      <w:pPr>
        <w:pStyle w:val="FirstParagraph"/>
      </w:pPr>
      <w:r>
        <w:rPr>
          <w:bCs/>
          <w:b/>
        </w:rPr>
        <w:t xml:space="preserve">Total Scope 3 Emissions:</w:t>
      </w:r>
      <w:r>
        <w:t xml:space="preserve"> </w:t>
      </w:r>
      <w:r>
        <w:t xml:space="preserve">37.96 + 1.0 + 250.0 - 10.0 = 278.96 kg CO2e/unit (Illustrative)</w:t>
      </w:r>
    </w:p>
    <w:bookmarkEnd w:id="40"/>
    <w:bookmarkStart w:id="41" w:name="total-pcf-summary"/>
    <w:p>
      <w:pPr>
        <w:pStyle w:val="Heading4"/>
      </w:pPr>
      <w:r>
        <w:t xml:space="preserve">2.5.4. Total PCF Summary</w:t>
      </w:r>
    </w:p>
    <w:p>
      <w:pPr>
        <w:pStyle w:val="FirstParagraph"/>
      </w:pPr>
      <w:r>
        <w:t xml:space="preserve">The following table summarizes the illustrative Product Carbon Footprint for rwmrqhsmwq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9.0</w:t>
            </w:r>
          </w:p>
        </w:tc>
      </w:tr>
      <w:tr>
        <w:tc>
          <w:tcPr>
            <w:vMerge w:val="restart"/>
          </w:tcPr>
          <w:p>
            <w:pPr>
              <w:pStyle w:val="Compact"/>
              <w:jc w:val="left"/>
            </w:pPr>
            <w:r>
              <w:t xml:space="preserve">Scope 3</w:t>
            </w:r>
          </w:p>
        </w:tc>
        <w:tc>
          <w:tcPr/>
          <w:p>
            <w:pPr>
              <w:pStyle w:val="Compact"/>
              <w:jc w:val="left"/>
            </w:pPr>
            <w:r>
              <w:t xml:space="preserve">Upstream Materials (Based on `sxdntzxy`)</w:t>
            </w:r>
          </w:p>
        </w:tc>
        <w:tc>
          <w:tcPr/>
          <w:p>
            <w:pPr>
              <w:pStyle w:val="Compact"/>
              <w:jc w:val="left"/>
            </w:pPr>
            <w:r>
              <w:t xml:space="preserve">37.96</w:t>
            </w:r>
          </w:p>
        </w:tc>
      </w:tr>
      <w:tr>
        <w:tc>
          <w:tcPr>
            <w:gridSpan w:val="1"/>
            <w:vMerge w:val="continue"/>
          </w:tcPr>
          <w:p>
            <w:pPr/>
          </w:p>
        </w:tc>
        <w:tc>
          <w:tcPr/>
          <w:p>
            <w:pPr>
              <w:pStyle w:val="Compact"/>
              <w:jc w:val="left"/>
            </w:pPr>
            <w:r>
              <w:t xml:space="preserve">Upstream Transportation (`Select Mode`, `gsixlorzzy`)</w:t>
            </w:r>
          </w:p>
        </w:tc>
        <w:tc>
          <w:tcPr/>
          <w:p>
            <w:pPr>
              <w:pStyle w:val="Compact"/>
              <w:jc w:val="left"/>
            </w:pPr>
            <w:r>
              <w:t xml:space="preserve">1.0</w:t>
            </w:r>
          </w:p>
        </w:tc>
      </w:tr>
      <w:tr>
        <w:tc>
          <w:tcPr>
            <w:gridSpan w:val="1"/>
            <w:vMerge w:val="continue"/>
          </w:tcPr>
          <w:p>
            <w:pPr/>
          </w:p>
        </w:tc>
        <w:tc>
          <w:tcPr/>
          <w:p>
            <w:pPr>
              <w:pStyle w:val="Compact"/>
              <w:jc w:val="left"/>
            </w:pPr>
            <w:r>
              <w:t xml:space="preserve">Use of Sold Product (`xfnzuhgltr`, `jtwmtrdwxh`)</w:t>
            </w:r>
          </w:p>
        </w:tc>
        <w:tc>
          <w:tcPr/>
          <w:p>
            <w:pPr>
              <w:pStyle w:val="Compact"/>
              <w:jc w:val="left"/>
            </w:pPr>
            <w:r>
              <w:t xml:space="preserve">250.0</w:t>
            </w:r>
          </w:p>
        </w:tc>
      </w:tr>
      <w:tr>
        <w:tc>
          <w:tcPr>
            <w:gridSpan w:val="1"/>
            <w:vMerge w:val="continue"/>
          </w:tcPr>
          <w:p>
            <w:pPr/>
          </w:p>
        </w:tc>
        <w:tc>
          <w:tcPr/>
          <w:p>
            <w:pPr>
              <w:pStyle w:val="Compact"/>
              <w:jc w:val="left"/>
            </w:pPr>
            <w:r>
              <w:t xml:space="preserve">End-of-Life Treatment (`snhozeplyr`, `pqivxxdonm`)</w:t>
            </w:r>
          </w:p>
        </w:tc>
        <w:tc>
          <w:tcPr/>
          <w:p>
            <w:pPr>
              <w:pStyle w:val="Compact"/>
              <w:jc w:val="left"/>
            </w:pPr>
            <w:r>
              <w:t xml:space="preserve">-10.0</w:t>
            </w:r>
          </w:p>
        </w:tc>
      </w:tr>
      <w:tr>
        <w:tc>
          <w:tcPr>
            <w:gridSpan w:val="2"/>
          </w:tcPr>
          <w:p>
            <w:pPr>
              <w:pStyle w:val="Compact"/>
              <w:jc w:val="left"/>
            </w:pPr>
            <w:r>
              <w:t xml:space="preserve">TOTAL PRODUCT CARBON FOOTPRINT (Illustrative)</w:t>
            </w:r>
          </w:p>
        </w:tc>
        <w:tc>
          <w:tcPr/>
          <w:p>
            <w:pPr>
              <w:pStyle w:val="Compact"/>
              <w:jc w:val="left"/>
            </w:pPr>
            <w:r>
              <w:t xml:space="preserve">287.96</w:t>
            </w:r>
          </w:p>
        </w:tc>
      </w:tr>
    </w:tbl>
    <w:p>
      <w:pPr>
        <w:pStyle w:val="BodyText"/>
      </w:pPr>
      <w:r>
        <w:rPr>
          <w:iCs/>
          <w:i/>
        </w:rPr>
        <w:t xml:space="preserve">Note: All numerical values in this section are illustrative, based on assumptions for the provided parameters. Actual calculations require specific quantitative data for each parameter.</w:t>
      </w:r>
    </w:p>
    <w:bookmarkEnd w:id="41"/>
    <w:bookmarkEnd w:id="42"/>
    <w:bookmarkStart w:id="43" w:name="review-report-hotspots-and-reliability"/>
    <w:p>
      <w:pPr>
        <w:pStyle w:val="Heading3"/>
      </w:pPr>
      <w:r>
        <w:t xml:space="preserve">2.6. Review &amp; Report (Hotspots and Reliability)</w:t>
      </w:r>
    </w:p>
    <w:p>
      <w:pPr>
        <w:pStyle w:val="FirstParagraph"/>
      </w:pPr>
      <w:r>
        <w:t xml:space="preserve">The illustrative analysis reveals that the **Use Phase (250.0 kg CO2e)** is the most significant hotspot, primarily due to energy consumption during the product\'s lifespan. Upstream materials (37.96 kg CO2e) also represent a considerable portion of the footprint. The End-of-Life scenario, with strong recyclability and circular programs, indicates a potential net carbon credit, highlighting the benefits of circular economy initiatives.</w:t>
      </w:r>
    </w:p>
    <w:p>
      <w:pPr>
        <w:pStyle w:val="BodyText"/>
      </w:pPr>
      <w:r>
        <w:t xml:space="preserve">The reliability of this report is directly dependent on the accuracy and completeness of the input data. The current analysis utilizes illustrative numerical values based on generic industry factors and assumptions for the provided string parameters. For a highly reliable and auditable PCF, precise primary data for each parameter (e.g., exact BOM, specific transport modes and distances, actual energy consumption figures, and region-specific emission factors) is essential.</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rwmrqhsmwq</dc:title>
  <dc:creator/>
  <dc:description>Detailed Product Carbon Footprint (PCF) analysis for rwmrqhsmwq, conducted by xeyhxoswzs, a Senior Sustainability Consultant for mjujnkxgwe, adhering to GHG Protocol standards and incorporating 2026 LSR Update and Scope 3 compliance.</dc:description>
  <dc:language>en</dc:language>
  <cp:keywords/>
  <dcterms:created xsi:type="dcterms:W3CDTF">2026-05-30T16:01:08Z</dcterms:created>
  <dcterms:modified xsi:type="dcterms:W3CDTF">2026-05-30T16:01:08Z</dcterms:modified>
</cp:coreProperties>
</file>

<file path=docProps/custom.xml><?xml version="1.0" encoding="utf-8"?>
<Properties xmlns="http://schemas.openxmlformats.org/officeDocument/2006/custom-properties" xmlns:vt="http://schemas.openxmlformats.org/officeDocument/2006/docPropsVTypes"/>
</file>