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rwkmusnfwl</w:t>
      </w:r>
      <w:r>
        <w:t xml:space="preserve"> </w:t>
      </w:r>
      <w:r>
        <w:t xml:space="preserve">-</w:t>
      </w:r>
      <w:r>
        <w:t xml:space="preserve"> </w:t>
      </w:r>
      <w:r>
        <w:t xml:space="preserve">prjjmndmmk</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rwkmusnfwl</w:t>
      </w:r>
    </w:p>
    <w:p>
      <w:pPr>
        <w:pStyle w:val="BodyText"/>
      </w:pPr>
      <w:r>
        <w:rPr>
          <w:bCs/>
          <w:b/>
        </w:rPr>
        <w:t xml:space="preserve">Company: prjjmndmmk</w:t>
      </w:r>
    </w:p>
    <w:p>
      <w:pPr>
        <w:pStyle w:val="BodyText"/>
      </w:pPr>
      <w:r>
        <w:rPr>
          <w:bCs/>
          <w:b/>
        </w:rPr>
        <w:t xml:space="preserve">Senior Sustainability Consultant: kzkjnkimpw</w:t>
      </w:r>
    </w:p>
    <w:p>
      <w:pPr>
        <w:pStyle w:val="BodyText"/>
      </w:pPr>
      <w:r>
        <w:rPr>
          <w:bCs/>
          <w:b/>
        </w:rPr>
        <w:t xml:space="preserve">Accounting Standard: GHG Protocol</w:t>
      </w:r>
    </w:p>
    <w:p>
      <w:pPr>
        <w:pStyle w:val="BodyText"/>
      </w:pPr>
      <w:r>
        <w:t xml:space="preserve">Disclaimer: This report is generated based on available data, illustrative values for placeholder parameters, and industry standards. While every effort has been made to ensure accuracy in methodology, specific numerical calculations are demonstrative due to the placeholder nature of some input data.</w:t>
      </w:r>
    </w:p>
    <w:bookmarkEnd w:id="20"/>
    <w:bookmarkStart w:id="50" w:name="X37456ff2fcd2f8516abe714f05200484f9226da"/>
    <w:p>
      <w:pPr>
        <w:pStyle w:val="Heading1"/>
      </w:pPr>
      <w:r>
        <w:t xml:space="preserve">Product Carbon Footprint Analysis Report: rwkmusnfwl</w:t>
      </w:r>
    </w:p>
    <w:p>
      <w:pPr>
        <w:pStyle w:val="FirstParagraph"/>
      </w:pPr>
      <w:r>
        <w:rPr>
          <w:bCs/>
          <w:b/>
        </w:rPr>
        <w:t xml:space="preserve">Generated Date:</w:t>
      </w:r>
      <w:r>
        <w:t xml:space="preserve"> </w:t>
      </w:r>
      <w:r>
        <w:t xml:space="preserve">June 3, 2026</w:t>
      </w:r>
    </w:p>
    <w:p>
      <w:pPr>
        <w:pStyle w:val="BodyText"/>
      </w:pPr>
      <w:r>
        <w:rPr>
          <w:bCs/>
          <w:b/>
        </w:rPr>
        <w:t xml:space="preserve">Prepared for:</w:t>
      </w:r>
      <w:r>
        <w:t xml:space="preserve"> </w:t>
      </w:r>
      <w:r>
        <w:t xml:space="preserve">prjjmndmmk</w:t>
      </w:r>
    </w:p>
    <w:p>
      <w:pPr>
        <w:pStyle w:val="BodyText"/>
      </w:pPr>
      <w:r>
        <w:rPr>
          <w:bCs/>
          <w:b/>
        </w:rPr>
        <w:t xml:space="preserve">Prepared by:</w:t>
      </w:r>
      <w:r>
        <w:t xml:space="preserve"> </w:t>
      </w:r>
      <w:r>
        <w:t xml:space="preserve">kzkjnkimpw, Senior Sustainability Consultant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"rwkmusnfwl" manufactured by prjjmndmmk. The analysis adheres strictly to the Greenhouse Gas (GHG) Protocol standards, including the latest 2026 Land Sector and Removals (LSR) Standard updates where applicable. A comprehensive "cradle-to-grave" approach has been employed, covering raw material acquisition, manufacturing, transportation, use-phase, and end-of-life scenarios. The total carbon footprint for one functional unit of rwkmusnfwl is calculated to be 16.34 kg CO2e.</w:t>
      </w:r>
    </w:p>
    <w:p>
      <w:pPr>
        <w:pStyle w:val="BodyText"/>
      </w:pPr>
      <w:r>
        <w:t xml:space="preserve">The primary hotspots identified in this analysis are the Use Phase, followed by Material Production, and Manufacturing Energy. Significant opportunities for emission reduction lie in improving energy efficiency during the use phase, sourcing lower-carbon materials, and increasing the utilization of renewable energy in manufacturing processes. End-of-life circularity initiatives, such as comprehensive recycling and take-back programs, show a net avoided emission benefit.</w:t>
      </w:r>
    </w:p>
    <w:p>
      <w:r>
        <w:pict>
          <v:rect style="width:0;height:1.5pt" o:hralign="center" o:hrstd="t" o:hr="t"/>
        </w:pict>
      </w:r>
    </w:p>
    <w:bookmarkEnd w:id="21"/>
    <w:bookmarkStart w:id="28" w:name="methodology-and-scope-definition"/>
    <w:p>
      <w:pPr>
        <w:pStyle w:val="Heading2"/>
      </w:pPr>
      <w:r>
        <w:t xml:space="preserve">1. Methodology and Scope Definition</w:t>
      </w:r>
    </w:p>
    <w:p>
      <w:pPr>
        <w:pStyle w:val="FirstParagraph"/>
      </w:pPr>
      <w:r>
        <w:t xml:space="preserve">This Product Carbon Footprint (PCF) analysis for "rwkmusnfwl" follows the five-step methodology prescribed by the GHG Protocol.</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rwkmusnfwl</w:t>
      </w:r>
      <w:r>
        <w:t xml:space="preserve">.</w:t>
      </w:r>
    </w:p>
    <w:bookmarkEnd w:id="22"/>
    <w:bookmarkStart w:id="23" w:name="system-boundary"/>
    <w:p>
      <w:pPr>
        <w:pStyle w:val="Heading3"/>
      </w:pPr>
      <w:r>
        <w:t xml:space="preserve">1.2. System Boundary</w:t>
      </w:r>
    </w:p>
    <w:p>
      <w:pPr>
        <w:pStyle w:val="FirstParagraph"/>
      </w:pPr>
      <w:r>
        <w:t xml:space="preserve">Although the parameter specified "System Boundary: factory_gate", the detailed requirements for Use Phase and End-of-Life calculations necessitate a "Cradle-to-Grave" system boundary. This comprehensive approach ensures that all relevant life cycle stages are included, providing a holistic view of the product\'s environmental impact from raw material extraction to its final disposal or recycling.</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sales and use in Europe, and supply chain logistics to Europe)</w:t>
      </w:r>
    </w:p>
    <w:bookmarkEnd w:id="24"/>
    <w:bookmarkStart w:id="25" w:name="allocation"/>
    <w:p>
      <w:pPr>
        <w:pStyle w:val="Heading3"/>
      </w:pPr>
      <w:r>
        <w:t xml:space="preserve">1.4. Allocation</w:t>
      </w:r>
    </w:p>
    <w:p>
      <w:pPr>
        <w:pStyle w:val="FirstParagraph"/>
      </w:pPr>
      <w:r>
        <w:t xml:space="preserve">Emissions are allocated directly to the functional unit based on mass and energy consumption. For multi-product facilities or processes, economic allocation would typically be applied; however, for this product-level analysis, direct attribution is prioritized where data allows. Avoided burden allocation is used for recycling and circular economy impacts in the End-of-Life stage.</w:t>
      </w:r>
    </w:p>
    <w:bookmarkEnd w:id="25"/>
    <w:bookmarkStart w:id="26" w:name="accounting-standard"/>
    <w:p>
      <w:pPr>
        <w:pStyle w:val="Heading3"/>
      </w:pPr>
      <w:r>
        <w:t xml:space="preserve">1.5. Accounting Standard</w:t>
      </w:r>
    </w:p>
    <w:p>
      <w:pPr>
        <w:pStyle w:val="FirstParagraph"/>
      </w:pPr>
      <w:r>
        <w:t xml:space="preserve">This report strictly adheres to the</w:t>
      </w:r>
      <w:r>
        <w:t xml:space="preserve"> </w:t>
      </w:r>
      <w:r>
        <w:rPr>
          <w:bCs/>
          <w:b/>
        </w:rPr>
        <w:t xml:space="preserve">GHG Protocol</w:t>
      </w:r>
      <w:r>
        <w:t xml:space="preserve"> </w:t>
      </w:r>
      <w:r>
        <w:t xml:space="preserve">standards for corporate and product accounting. Emissions are categorized into Scope 1 (direct), Scope 2 (purchased energy), and Scope 3 (value chain) to ensure transparency and comparability.</w:t>
      </w:r>
    </w:p>
    <w:p>
      <w:pPr>
        <w:numPr>
          <w:ilvl w:val="0"/>
          <w:numId w:val="1002"/>
        </w:numPr>
        <w:pStyle w:val="Compact"/>
      </w:pPr>
      <w:r>
        <w:rPr>
          <w:bCs/>
          <w:b/>
        </w:rPr>
        <w:t xml:space="preserve">Scope 1:</w:t>
      </w:r>
      <w:r>
        <w:t xml:space="preserve"> </w:t>
      </w:r>
      <w:r>
        <w:t xml:space="preserve">Direct GHG emissions from sources owned or controlled by the reporting company (prjjmndmmk). For this product PCF, direct operational emissions from facilities not manufacturing or directly transporting the product are excluded, focusing on product-specific impacts.</w:t>
      </w:r>
    </w:p>
    <w:p>
      <w:pPr>
        <w:numPr>
          <w:ilvl w:val="0"/>
          <w:numId w:val="1002"/>
        </w:numPr>
        <w:pStyle w:val="Compact"/>
      </w:pPr>
      <w:r>
        <w:rPr>
          <w:bCs/>
          <w:b/>
        </w:rPr>
        <w:t xml:space="preserve">Scope 2:</w:t>
      </w:r>
      <w:r>
        <w:t xml:space="preserve"> </w:t>
      </w:r>
      <w:r>
        <w:t xml:space="preserve">Indirect GHG emissions from the generation of purchased electricity, steam, heat, or cooling consumed by the reporting company. For this PCF, manufacturing electricity is considered Scope 3 for prjjmndmmk, as the manufacturing facility is assumed to be a supplier.</w:t>
      </w:r>
    </w:p>
    <w:p>
      <w:pPr>
        <w:numPr>
          <w:ilvl w:val="0"/>
          <w:numId w:val="1002"/>
        </w:numPr>
        <w:pStyle w:val="Compact"/>
      </w:pPr>
      <w:r>
        <w:rPr>
          <w:bCs/>
          <w:b/>
        </w:rPr>
        <w:t xml:space="preserve">Scope 3:</w:t>
      </w:r>
      <w:r>
        <w:t xml:space="preserve"> </w:t>
      </w:r>
      <w:r>
        <w:t xml:space="preserve">All other indirect emissions in the value chain, both upstream and downstream, not covered in Scope 1 or Scope 2. This includes purchased goods and services, capital goods, fuel- and energy-related activities (not in Scope 1 or 2), transportation and distribution, waste generated in operations, business travel, employee commuting, leased assets, processing of sold products, use of sold products, and end-of-life treatment of sold products. For many companies, Scope 3 accounts for 70-90% of the total carbon footprint, making it critical for net-zero strategies. This PCF analysis ensures at least 95% coverage for Scope 3 reporting, aligning with 2026 requirements.</w:t>
      </w:r>
    </w:p>
    <w:bookmarkEnd w:id="26"/>
    <w:bookmarkStart w:id="27" w:name="X504f4a86e01fdcfa46a4589bb1b5e0cfaad8629"/>
    <w:p>
      <w:pPr>
        <w:pStyle w:val="Heading3"/>
      </w:pPr>
      <w:r>
        <w:t xml:space="preserve">1.6. 2026 Land Sector and Removals (LSR) Standard Update</w:t>
      </w:r>
    </w:p>
    <w:p>
      <w:pPr>
        <w:pStyle w:val="FirstParagraph"/>
      </w:pPr>
      <w:r>
        <w:t xml:space="preserve">The GHG Protocol\'s new Land Sector and Removals Standard (LSR Standard), released on January 30, 2026, provides accounting requirements for land sector emissions (e.g., land use change, land management, biogenic products) and CO2 removals. This standard takes effect on January 1, 2027. While "rwkmusnfwl" is an electronic device and may not have direct land-intensive processes, the LSR Standard is acknowledged. Future iterations of this PCF will integrate more detailed land-use emission factors if material supply chains involve bio-based materials or processes with significant land-use change impacts. The current analysis incorporates carbon removals through recycling efforts.</w:t>
      </w:r>
    </w:p>
    <w:p>
      <w:r>
        <w:pict>
          <v:rect style="width:0;height:1.5pt" o:hralign="center" o:hrstd="t" o:hr="t"/>
        </w:pict>
      </w:r>
    </w:p>
    <w:bookmarkEnd w:id="27"/>
    <w:bookmarkEnd w:id="28"/>
    <w:bookmarkStart w:id="32" w:name="lifecycle-mapping-and-inventory-stages"/>
    <w:p>
      <w:pPr>
        <w:pStyle w:val="Heading2"/>
      </w:pPr>
      <w:r>
        <w:t xml:space="preserve">2. Lifecycle Mapping and Inventory Stages</w:t>
      </w:r>
    </w:p>
    <w:p>
      <w:pPr>
        <w:pStyle w:val="FirstParagraph"/>
      </w:pPr>
      <w:r>
        <w:t xml:space="preserve">The lifecycle of "rwkmusnfwl" is mapped into the following stages, with emissions categorized by GHG Protocol scopes:</w:t>
      </w:r>
    </w:p>
    <w:bookmarkStart w:id="29" w:name="upstream-scope-3"/>
    <w:p>
      <w:pPr>
        <w:pStyle w:val="Heading3"/>
      </w:pPr>
      <w:r>
        <w:t xml:space="preserve">2.1. Upstream (Scope 3)</w:t>
      </w:r>
    </w:p>
    <w:p>
      <w:pPr>
        <w:numPr>
          <w:ilvl w:val="0"/>
          <w:numId w:val="1003"/>
        </w:numPr>
        <w:pStyle w:val="Compact"/>
      </w:pPr>
      <w:r>
        <w:rPr>
          <w:bCs/>
          <w:b/>
        </w:rPr>
        <w:t xml:space="preserve">Material Acquisition &amp; Pre-processing (Category 1: Purchased goods and services):</w:t>
      </w:r>
      <w:r>
        <w:t xml:space="preserve"> </w:t>
      </w:r>
      <w:r>
        <w:t xml:space="preserve">This includes the extraction, processing, and manufacturing of raw materials and components as detailed in the Bill of Materials (BOM).</w:t>
      </w:r>
    </w:p>
    <w:p>
      <w:pPr>
        <w:numPr>
          <w:ilvl w:val="0"/>
          <w:numId w:val="1003"/>
        </w:numPr>
        <w:pStyle w:val="Compact"/>
      </w:pPr>
      <w:r>
        <w:rPr>
          <w:bCs/>
          <w:b/>
        </w:rPr>
        <w:t xml:space="preserve">Manufacturing / Production (Category 1: Purchased goods and services - Energy):</w:t>
      </w:r>
      <w:r>
        <w:t xml:space="preserve"> </w:t>
      </w:r>
      <w:r>
        <w:t xml:space="preserve">Energy consumed during the assembly and manufacturing processes in the production facility in China.</w:t>
      </w:r>
    </w:p>
    <w:p>
      <w:pPr>
        <w:numPr>
          <w:ilvl w:val="0"/>
          <w:numId w:val="1003"/>
        </w:numPr>
        <w:pStyle w:val="Compact"/>
      </w:pPr>
      <w:r>
        <w:rPr>
          <w:bCs/>
          <w:b/>
        </w:rPr>
        <w:t xml:space="preserve">Upstream Transportation &amp; Distribution (Category 4: Upstream transportation and distribution):</w:t>
      </w:r>
      <w:r>
        <w:t xml:space="preserve"> </w:t>
      </w:r>
      <w:r>
        <w:t xml:space="preserve">Transport of raw materials and components to the manufacturing site, and then the finished product from the factory gate in China to the European distribution hub.</w:t>
      </w:r>
    </w:p>
    <w:bookmarkEnd w:id="29"/>
    <w:bookmarkStart w:id="30" w:name="Xb352d0e01fc94e97785bd71177ad2277f2ca944"/>
    <w:p>
      <w:pPr>
        <w:pStyle w:val="Heading3"/>
      </w:pPr>
      <w:r>
        <w:t xml:space="preserve">2.2. Core Operations (Scope 1 &amp; 2) - N/A for this Product PCF</w:t>
      </w:r>
    </w:p>
    <w:p>
      <w:pPr>
        <w:pStyle w:val="FirstParagraph"/>
      </w:pPr>
      <w:r>
        <w:t xml:space="preserve">For prjjmndmmk, direct (Scope 1) and purchased energy (Scope 2) emissions typically relate to their own operational facilities (e.g., offices, company-owned vehicles). For a Product Carbon Footprint (PCF) focusing on "rwkmusnfwl," these emissions, if related to product manufacturing or upstream logistics by third parties, are accounted for under Scope 3 for prjjmndmmk.</w:t>
      </w:r>
    </w:p>
    <w:bookmarkEnd w:id="30"/>
    <w:bookmarkStart w:id="31" w:name="downstream-scope-3"/>
    <w:p>
      <w:pPr>
        <w:pStyle w:val="Heading3"/>
      </w:pPr>
      <w:r>
        <w:t xml:space="preserve">2.3. Downstream (Scope 3)</w:t>
      </w:r>
    </w:p>
    <w:p>
      <w:pPr>
        <w:numPr>
          <w:ilvl w:val="0"/>
          <w:numId w:val="1004"/>
        </w:numPr>
        <w:pStyle w:val="Compact"/>
      </w:pPr>
      <w:r>
        <w:rPr>
          <w:bCs/>
          <w:b/>
        </w:rPr>
        <w:t xml:space="preserve">Downstream Transportation &amp; Distribution (Category 9: Downstream transportation and distribution):</w:t>
      </w:r>
      <w:r>
        <w:t xml:space="preserve"> </w:t>
      </w:r>
      <w:r>
        <w:t xml:space="preserve">Transport from the European distribution hub to the customer (last-mile delivery).</w:t>
      </w:r>
    </w:p>
    <w:p>
      <w:pPr>
        <w:numPr>
          <w:ilvl w:val="0"/>
          <w:numId w:val="1004"/>
        </w:numPr>
        <w:pStyle w:val="Compact"/>
      </w:pPr>
      <w:r>
        <w:rPr>
          <w:bCs/>
          <w:b/>
        </w:rPr>
        <w:t xml:space="preserve">Use Phase (Category 11: Use of sold products):</w:t>
      </w:r>
      <w:r>
        <w:t xml:space="preserve"> </w:t>
      </w:r>
      <w:r>
        <w:t xml:space="preserve">Energy consumption during the product\'s lifespan by the end-user.</w:t>
      </w:r>
    </w:p>
    <w:p>
      <w:pPr>
        <w:numPr>
          <w:ilvl w:val="0"/>
          <w:numId w:val="1004"/>
        </w:numPr>
        <w:pStyle w:val="Compact"/>
      </w:pPr>
      <w:r>
        <w:rPr>
          <w:bCs/>
          <w:b/>
        </w:rPr>
        <w:t xml:space="preserve">End-of-Life Treatment (Category 12: End-of-life treatment of sold products):</w:t>
      </w:r>
      <w:r>
        <w:t xml:space="preserve"> </w:t>
      </w:r>
      <w:r>
        <w:t xml:space="preserve">Processes at the end of the product\'s life, including recycling, disposal (landfill), and the impact of circular/take-back programs.</w:t>
      </w:r>
    </w:p>
    <w:p>
      <w:r>
        <w:pict>
          <v:rect style="width:0;height:1.5pt" o:hralign="center" o:hrstd="t" o:hr="t"/>
        </w:pict>
      </w:r>
    </w:p>
    <w:bookmarkEnd w:id="31"/>
    <w:bookmarkEnd w:id="32"/>
    <w:bookmarkStart w:id="36" w:name="X7b6d01ce7b6bfe45f00681616505557cddf238f"/>
    <w:p>
      <w:pPr>
        <w:pStyle w:val="Heading2"/>
      </w:pPr>
      <w:r>
        <w:t xml:space="preserve">3. Data Collection (Primary/Secondary Data Points)</w:t>
      </w:r>
    </w:p>
    <w:p>
      <w:pPr>
        <w:pStyle w:val="FirstParagraph"/>
      </w:pPr>
      <w:r>
        <w:t xml:space="preserve">This analysis utilizes a blend of primary data provided through the parameters and secondary, industry-average emission factors for illustrative calculations where specific numerical values were provided as placeholder strings.</w:t>
      </w:r>
    </w:p>
    <w:bookmarkStart w:id="33" w:name="Xd4acae76f55ab3adcb3e8f7cad9f8fca215e223"/>
    <w:p>
      <w:pPr>
        <w:pStyle w:val="Heading3"/>
      </w:pPr>
      <w:r>
        <w:t xml:space="preserve">3.1. Provided Parameters (Illustrative Values for Calculations)</w:t>
      </w:r>
    </w:p>
    <w:p>
      <w:pPr>
        <w:pStyle w:val="FirstParagraph"/>
      </w:pPr>
      <w:r>
        <w:t xml:space="preserve">The following parameters were provided for the analysis. For calculation purposes, representative numerical values have been assumed where the parameter itself was a descriptive string, and this is clearly noted.</w:t>
      </w:r>
    </w:p>
    <w:p>
      <w:pPr>
        <w:numPr>
          <w:ilvl w:val="0"/>
          <w:numId w:val="1005"/>
        </w:numPr>
        <w:pStyle w:val="Compact"/>
      </w:pPr>
      <w:r>
        <w:rPr>
          <w:bCs/>
          <w:b/>
        </w:rPr>
        <w:t xml:space="preserve">Product Name:</w:t>
      </w:r>
      <w:r>
        <w:t xml:space="preserve"> </w:t>
      </w:r>
      <w:r>
        <w:t xml:space="preserve">rwkmusnfwl (Assumed to be a "Smart Home Hub" for illustrative BOM)</w:t>
      </w:r>
    </w:p>
    <w:p>
      <w:pPr>
        <w:numPr>
          <w:ilvl w:val="0"/>
          <w:numId w:val="1005"/>
        </w:numPr>
        <w:pStyle w:val="Compact"/>
      </w:pPr>
      <w:r>
        <w:rPr>
          <w:bCs/>
          <w:b/>
        </w:rPr>
        <w:t xml:space="preserve">Company Name:</w:t>
      </w:r>
      <w:r>
        <w:t xml:space="preserve"> </w:t>
      </w:r>
      <w:r>
        <w:t xml:space="preserve">prjjmndmmk</w:t>
      </w:r>
    </w:p>
    <w:p>
      <w:pPr>
        <w:numPr>
          <w:ilvl w:val="0"/>
          <w:numId w:val="1005"/>
        </w:numPr>
        <w:pStyle w:val="Compact"/>
      </w:pPr>
      <w:r>
        <w:rPr>
          <w:bCs/>
          <w:b/>
        </w:rPr>
        <w:t xml:space="preserve">Senior Sustainability Consultant:</w:t>
      </w:r>
      <w:r>
        <w:t xml:space="preserve"> </w:t>
      </w:r>
      <w:r>
        <w:t xml:space="preserve">kzkjnkimpw</w:t>
      </w:r>
    </w:p>
    <w:p>
      <w:pPr>
        <w:numPr>
          <w:ilvl w:val="0"/>
          <w:numId w:val="1005"/>
        </w:numPr>
        <w:pStyle w:val="Compact"/>
      </w:pPr>
      <w:r>
        <w:rPr>
          <w:bCs/>
          <w:b/>
        </w:rPr>
        <w:t xml:space="preserve">Detailed Bill of Materials (BOM):</w:t>
      </w:r>
      <w:r>
        <w:t xml:space="preserve"> </w:t>
      </w:r>
      <w:r>
        <w:t xml:space="preserve">kgyrgmiy (Illustrative BOM data used for calculation, adhering to specified format below.)</w:t>
      </w:r>
    </w:p>
    <w:p>
      <w:pPr>
        <w:numPr>
          <w:ilvl w:val="0"/>
          <w:numId w:val="1005"/>
        </w:numPr>
        <w:pStyle w:val="Compact"/>
      </w:pPr>
      <w:r>
        <w:rPr>
          <w:bCs/>
          <w:b/>
        </w:rPr>
        <w:t xml:space="preserve">Transport Mode:</w:t>
      </w:r>
      <w:r>
        <w:t xml:space="preserve"> </w:t>
      </w:r>
      <w:r>
        <w:t xml:space="preserve">Select Mode (Assumed: Ocean Freight for long-haul, Road Freight for European distribution)</w:t>
      </w:r>
    </w:p>
    <w:p>
      <w:pPr>
        <w:numPr>
          <w:ilvl w:val="0"/>
          <w:numId w:val="1005"/>
        </w:numPr>
        <w:pStyle w:val="Compact"/>
      </w:pPr>
      <w:r>
        <w:rPr>
          <w:bCs/>
          <w:b/>
        </w:rPr>
        <w:t xml:space="preserve">Transport Distance:</w:t>
      </w:r>
      <w:r>
        <w:t xml:space="preserve"> </w:t>
      </w:r>
      <w:r>
        <w:t xml:space="preserve">ovqpwmwjpq (Illustrative: China to Europe: 12000 km, European Distribution: 500 km, Last-Mile: 50 km)</w:t>
      </w:r>
    </w:p>
    <w:p>
      <w:pPr>
        <w:numPr>
          <w:ilvl w:val="0"/>
          <w:numId w:val="1005"/>
        </w:numPr>
        <w:pStyle w:val="Compact"/>
      </w:pPr>
      <w:r>
        <w:rPr>
          <w:bCs/>
          <w:b/>
        </w:rPr>
        <w:t xml:space="preserve">Last-Mile Delivery Channel:</w:t>
      </w:r>
      <w:r>
        <w:t xml:space="preserve"> </w:t>
      </w:r>
      <w:r>
        <w:t xml:space="preserve">Delivery Type (Assumed: Parcel Courier)</w:t>
      </w:r>
    </w:p>
    <w:p>
      <w:pPr>
        <w:numPr>
          <w:ilvl w:val="0"/>
          <w:numId w:val="1005"/>
        </w:numPr>
        <w:pStyle w:val="Compact"/>
      </w:pPr>
      <w:r>
        <w:rPr>
          <w:bCs/>
          <w:b/>
        </w:rPr>
        <w:t xml:space="preserve">Renewable Energy Usage:</w:t>
      </w:r>
      <w:r>
        <w:t xml:space="preserve"> </w:t>
      </w:r>
      <w:r>
        <w:t xml:space="preserve">jrwloieypq (Illustrative: 50%)</w:t>
      </w:r>
    </w:p>
    <w:p>
      <w:pPr>
        <w:numPr>
          <w:ilvl w:val="0"/>
          <w:numId w:val="1005"/>
        </w:numPr>
        <w:pStyle w:val="Compact"/>
      </w:pPr>
      <w:r>
        <w:rPr>
          <w:bCs/>
          <w:b/>
        </w:rPr>
        <w:t xml:space="preserve">Energy Intensity (kWh/unit):</w:t>
      </w:r>
      <w:r>
        <w:t xml:space="preserve"> </w:t>
      </w:r>
      <w:r>
        <w:t xml:space="preserve">qqthqmizxl (Illustrative: 12 kWh/unit for production)</w:t>
      </w:r>
    </w:p>
    <w:p>
      <w:pPr>
        <w:numPr>
          <w:ilvl w:val="0"/>
          <w:numId w:val="1005"/>
        </w:numPr>
        <w:pStyle w:val="Compact"/>
      </w:pPr>
      <w:r>
        <w:rPr>
          <w:bCs/>
          <w:b/>
        </w:rPr>
        <w:t xml:space="preserve">Product Lifespan:</w:t>
      </w:r>
      <w:r>
        <w:t xml:space="preserve"> </w:t>
      </w:r>
      <w:r>
        <w:t xml:space="preserve">ozdnzvgtoz (Illustrative: 4 years)</w:t>
      </w:r>
    </w:p>
    <w:p>
      <w:pPr>
        <w:numPr>
          <w:ilvl w:val="0"/>
          <w:numId w:val="1005"/>
        </w:numPr>
        <w:pStyle w:val="Compact"/>
      </w:pPr>
      <w:r>
        <w:rPr>
          <w:bCs/>
          <w:b/>
        </w:rPr>
        <w:t xml:space="preserve">Energy Consumption in Use:</w:t>
      </w:r>
      <w:r>
        <w:t xml:space="preserve"> </w:t>
      </w:r>
      <w:r>
        <w:t xml:space="preserve">dkegiyttyy (Illustrative: 8 kWh/year)</w:t>
      </w:r>
    </w:p>
    <w:p>
      <w:pPr>
        <w:numPr>
          <w:ilvl w:val="0"/>
          <w:numId w:val="1005"/>
        </w:numPr>
        <w:pStyle w:val="Compact"/>
      </w:pPr>
      <w:r>
        <w:rPr>
          <w:bCs/>
          <w:b/>
        </w:rPr>
        <w:t xml:space="preserve">Recyclability Percentage:</w:t>
      </w:r>
      <w:r>
        <w:t xml:space="preserve"> </w:t>
      </w:r>
      <w:r>
        <w:t xml:space="preserve">wpdxotflue (Illustrative: 75%)</w:t>
      </w:r>
    </w:p>
    <w:p>
      <w:pPr>
        <w:numPr>
          <w:ilvl w:val="0"/>
          <w:numId w:val="1005"/>
        </w:numPr>
        <w:pStyle w:val="Compact"/>
      </w:pPr>
      <w:r>
        <w:rPr>
          <w:bCs/>
          <w:b/>
        </w:rPr>
        <w:t xml:space="preserve">Circular/Take-back Programs:</w:t>
      </w:r>
      <w:r>
        <w:t xml:space="preserve"> </w:t>
      </w:r>
      <w:r>
        <w:t xml:space="preserve">mqzpeupviw (Illustrative: "Established take-back program for product refurbishment and material recovery.")</w:t>
      </w:r>
    </w:p>
    <w:bookmarkEnd w:id="33"/>
    <w:bookmarkStart w:id="34" w:name="X53ca7563cbb67d14a8c5c44883b975b5d1c9f92"/>
    <w:p>
      <w:pPr>
        <w:pStyle w:val="Heading3"/>
      </w:pPr>
      <w:r>
        <w:t xml:space="preserve">3.2. Detailed Bill of Materials (BOM) Data (from kgyrgmiy - Illustrative)</w:t>
      </w:r>
    </w:p>
    <w:p>
      <w:pPr>
        <w:pStyle w:val="FirstParagraph"/>
      </w:pPr>
      <w:r>
        <w:t xml:space="preserve">The following illustrative Bill of Materials (BOM) data, formatted as specified in the prompt, has been used for high-accuracy material impact calculation. The \'Total Carbon\' values are used directly as per the instruction.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002</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0.40</w:t>
            </w:r>
          </w:p>
        </w:tc>
      </w:tr>
      <w:tr>
        <w:tc>
          <w:tcPr/>
          <w:p>
            <w:pPr>
              <w:pStyle w:val="Compact"/>
              <w:jc w:val="left"/>
            </w:pPr>
            <w:r>
              <w:t xml:space="preserve">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1.20</w:t>
            </w:r>
          </w:p>
        </w:tc>
      </w:tr>
      <w:tr>
        <w:tc>
          <w:tcPr/>
          <w:p>
            <w:pPr>
              <w:pStyle w:val="Compact"/>
              <w:jc w:val="left"/>
            </w:pPr>
            <w:r>
              <w:t xml:space="preserve">004</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p>
            <w:pPr>
              <w:pStyle w:val="Compact"/>
              <w:jc w:val="left"/>
            </w:pPr>
            <w:r>
              <w:t xml:space="preserve">006</w:t>
            </w:r>
          </w:p>
        </w:tc>
        <w:tc>
          <w:tcPr/>
          <w:p>
            <w:pPr>
              <w:pStyle w:val="Compact"/>
              <w:jc w:val="left"/>
            </w:pPr>
            <w:r>
              <w:t xml:space="preserve">Small Electronic Components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20.0</w:t>
            </w:r>
          </w:p>
        </w:tc>
        <w:tc>
          <w:tcPr/>
          <w:p>
            <w:pPr>
              <w:pStyle w:val="Compact"/>
              <w:jc w:val="left"/>
            </w:pPr>
            <w:r>
              <w:t xml:space="preserve">0.40</w:t>
            </w:r>
          </w:p>
        </w:tc>
      </w:tr>
      <w:tr>
        <w:tc>
          <w:tcPr>
            <w:gridSpan w:val="7"/>
          </w:tcPr>
          <w:p>
            <w:pPr>
              <w:pStyle w:val="Compact"/>
              <w:jc w:val="left"/>
            </w:pPr>
            <w:r>
              <w:rPr>
                <w:bCs/>
                <w:b/>
              </w:rPr>
              <w:t xml:space="preserve">Total Material Mass</w:t>
            </w:r>
          </w:p>
        </w:tc>
        <w:tc>
          <w:tcPr/>
          <w:p>
            <w:pPr>
              <w:pStyle w:val="Compact"/>
              <w:jc w:val="left"/>
            </w:pPr>
            <w:r>
              <w:rPr>
                <w:bCs/>
                <w:b/>
              </w:rPr>
              <w:t xml:space="preserve">0.75 kg</w:t>
            </w:r>
          </w:p>
        </w:tc>
      </w:tr>
      <w:tr>
        <w:tc>
          <w:tcPr>
            <w:gridSpan w:val="7"/>
          </w:tcPr>
          <w:p>
            <w:pPr>
              <w:pStyle w:val="Compact"/>
              <w:jc w:val="left"/>
            </w:pPr>
            <w:r>
              <w:rPr>
                <w:bCs/>
                <w:b/>
              </w:rPr>
              <w:t xml:space="preserve">Total Carbon from Materials (Scope 3, Cat 1)</w:t>
            </w:r>
          </w:p>
        </w:tc>
        <w:tc>
          <w:tcPr/>
          <w:p>
            <w:pPr>
              <w:pStyle w:val="Compact"/>
              <w:jc w:val="left"/>
            </w:pPr>
            <w:r>
              <w:rPr>
                <w:bCs/>
                <w:b/>
              </w:rPr>
              <w:t xml:space="preserve">3.95 kg CO2e</w:t>
            </w:r>
          </w:p>
        </w:tc>
      </w:tr>
    </w:tbl>
    <w:bookmarkEnd w:id="34"/>
    <w:bookmarkStart w:id="35" w:name="X75d625eb3e3ee9de38caaca1489594d17bbed7b"/>
    <w:p>
      <w:pPr>
        <w:pStyle w:val="Heading3"/>
      </w:pPr>
      <w:r>
        <w:t xml:space="preserve">3.3. Emission Factors (Secondary Data - Illustrative)</w:t>
      </w:r>
    </w:p>
    <w:p>
      <w:pPr>
        <w:pStyle w:val="FirstParagraph"/>
      </w:pPr>
      <w:r>
        <w:t xml:space="preserve">Industry-standard emission factors (e.g., from Ecoinvent/DEFRA equivalents) are applied for various activities. These values are illustrative for demonstration purposes.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w:t>
            </w:r>
          </w:p>
        </w:tc>
        <w:tc>
          <w:tcPr/>
          <w:p>
            <w:pPr>
              <w:pStyle w:val="Compact"/>
              <w:jc w:val="left"/>
            </w:pPr>
            <w:r>
              <w:t xml:space="preserve">Emission Factor (kgCO2e/unit)</w:t>
            </w:r>
          </w:p>
        </w:tc>
        <w:tc>
          <w:tcPr/>
          <w:p>
            <w:pPr>
              <w:pStyle w:val="Compact"/>
              <w:jc w:val="left"/>
            </w:pPr>
            <w:r>
              <w:t xml:space="preserve">Source/Context</w:t>
            </w:r>
          </w:p>
        </w:tc>
      </w:tr>
      <w:tr>
        <w:tc>
          <w:tcPr/>
          <w:p>
            <w:pPr>
              <w:pStyle w:val="Compact"/>
              <w:jc w:val="left"/>
            </w:pPr>
            <w:r>
              <w:t xml:space="preserve">Electricity (China Grid)</w:t>
            </w:r>
          </w:p>
        </w:tc>
        <w:tc>
          <w:tcPr/>
          <w:p>
            <w:pPr>
              <w:pStyle w:val="Compact"/>
              <w:jc w:val="left"/>
            </w:pPr>
            <w:r>
              <w:t xml:space="preserve">Production energy</w:t>
            </w:r>
          </w:p>
        </w:tc>
        <w:tc>
          <w:tcPr/>
          <w:p>
            <w:pPr>
              <w:pStyle w:val="Compact"/>
              <w:jc w:val="left"/>
            </w:pPr>
            <w:r>
              <w:t xml:space="preserve">0.60 kgCO2e/kWh</w:t>
            </w:r>
          </w:p>
        </w:tc>
        <w:tc>
          <w:tcPr/>
          <w:p>
            <w:pPr>
              <w:pStyle w:val="Compact"/>
              <w:jc w:val="left"/>
            </w:pPr>
            <w:r>
              <w:t xml:space="preserve">Illustrative, based on average 2021-2023 values.</w:t>
            </w:r>
          </w:p>
        </w:tc>
      </w:tr>
      <w:tr>
        <w:tc>
          <w:tcPr/>
          <w:p>
            <w:pPr>
              <w:pStyle w:val="Compact"/>
              <w:jc w:val="left"/>
            </w:pPr>
            <w:r>
              <w:t xml:space="preserve">Electricity (European Grid)</w:t>
            </w:r>
          </w:p>
        </w:tc>
        <w:tc>
          <w:tcPr/>
          <w:p>
            <w:pPr>
              <w:pStyle w:val="Compact"/>
              <w:jc w:val="left"/>
            </w:pPr>
            <w:r>
              <w:t xml:space="preserve">Use phase energy</w:t>
            </w:r>
          </w:p>
        </w:tc>
        <w:tc>
          <w:tcPr/>
          <w:p>
            <w:pPr>
              <w:pStyle w:val="Compact"/>
              <w:jc w:val="left"/>
            </w:pPr>
            <w:r>
              <w:t xml:space="preserve">0.30 kgCO2e/kWh</w:t>
            </w:r>
          </w:p>
        </w:tc>
        <w:tc>
          <w:tcPr/>
          <w:p>
            <w:pPr>
              <w:pStyle w:val="Compact"/>
              <w:jc w:val="left"/>
            </w:pPr>
            <w:r>
              <w:t xml:space="preserve">Illustrative, based on EU-27 average.</w:t>
            </w:r>
          </w:p>
        </w:tc>
      </w:tr>
      <w:tr>
        <w:tc>
          <w:tcPr/>
          <w:p>
            <w:pPr>
              <w:pStyle w:val="Compact"/>
              <w:jc w:val="left"/>
            </w:pPr>
            <w:r>
              <w:t xml:space="preserve">Renewable Electricity</w:t>
            </w:r>
          </w:p>
        </w:tc>
        <w:tc>
          <w:tcPr/>
          <w:p>
            <w:pPr>
              <w:pStyle w:val="Compact"/>
              <w:jc w:val="left"/>
            </w:pPr>
            <w:r>
              <w:t xml:space="preserve">Production energy (allocated)</w:t>
            </w:r>
          </w:p>
        </w:tc>
        <w:tc>
          <w:tcPr/>
          <w:p>
            <w:pPr>
              <w:pStyle w:val="Compact"/>
              <w:jc w:val="left"/>
            </w:pPr>
            <w:r>
              <w:t xml:space="preserve">0.02 kgCO2e/kWh</w:t>
            </w:r>
          </w:p>
        </w:tc>
        <w:tc>
          <w:tcPr/>
          <w:p>
            <w:pPr>
              <w:pStyle w:val="Compact"/>
              <w:jc w:val="left"/>
            </w:pPr>
            <w:r>
              <w:t xml:space="preserve">Illustrative, lifecycle emissions from infrastructure.</w:t>
            </w:r>
          </w:p>
        </w:tc>
      </w:tr>
      <w:tr>
        <w:tc>
          <w:tcPr/>
          <w:p>
            <w:pPr>
              <w:pStyle w:val="Compact"/>
              <w:jc w:val="left"/>
            </w:pPr>
            <w:r>
              <w:t xml:space="preserve">Ocean Freight</w:t>
            </w:r>
          </w:p>
        </w:tc>
        <w:tc>
          <w:tcPr/>
          <w:p>
            <w:pPr>
              <w:pStyle w:val="Compact"/>
              <w:jc w:val="left"/>
            </w:pPr>
            <w:r>
              <w:t xml:space="preserve">Long-haul transport</w:t>
            </w:r>
          </w:p>
        </w:tc>
        <w:tc>
          <w:tcPr/>
          <w:p>
            <w:pPr>
              <w:pStyle w:val="Compact"/>
              <w:jc w:val="left"/>
            </w:pPr>
            <w:r>
              <w:t xml:space="preserve">0.016 kgCO2e/tkm</w:t>
            </w:r>
          </w:p>
        </w:tc>
        <w:tc>
          <w:tcPr/>
          <w:p>
            <w:pPr>
              <w:pStyle w:val="Compact"/>
              <w:jc w:val="left"/>
            </w:pPr>
            <w:r>
              <w:t xml:space="preserve">Illustrative, for container ship.</w:t>
            </w:r>
          </w:p>
        </w:tc>
      </w:tr>
      <w:tr>
        <w:tc>
          <w:tcPr/>
          <w:p>
            <w:pPr>
              <w:pStyle w:val="Compact"/>
              <w:jc w:val="left"/>
            </w:pPr>
            <w:r>
              <w:t xml:space="preserve">Road Freight (HGV)</w:t>
            </w:r>
          </w:p>
        </w:tc>
        <w:tc>
          <w:tcPr/>
          <w:p>
            <w:pPr>
              <w:pStyle w:val="Compact"/>
              <w:jc w:val="left"/>
            </w:pPr>
            <w:r>
              <w:t xml:space="preserve">European distribution</w:t>
            </w:r>
          </w:p>
        </w:tc>
        <w:tc>
          <w:tcPr/>
          <w:p>
            <w:pPr>
              <w:pStyle w:val="Compact"/>
              <w:jc w:val="left"/>
            </w:pPr>
            <w:r>
              <w:t xml:space="preserve">0.10 kgCO2e/tkm</w:t>
            </w:r>
          </w:p>
        </w:tc>
        <w:tc>
          <w:tcPr/>
          <w:p>
            <w:pPr>
              <w:pStyle w:val="Compact"/>
              <w:jc w:val="left"/>
            </w:pPr>
            <w:r>
              <w:t xml:space="preserve">Illustrative, for heavy goods vehicles.</w:t>
            </w:r>
          </w:p>
        </w:tc>
      </w:tr>
      <w:tr>
        <w:tc>
          <w:tcPr/>
          <w:p>
            <w:pPr>
              <w:pStyle w:val="Compact"/>
              <w:jc w:val="left"/>
            </w:pPr>
            <w:r>
              <w:t xml:space="preserve">Parcel Courier (LCV)</w:t>
            </w:r>
          </w:p>
        </w:tc>
        <w:tc>
          <w:tcPr/>
          <w:p>
            <w:pPr>
              <w:pStyle w:val="Compact"/>
              <w:jc w:val="left"/>
            </w:pPr>
            <w:r>
              <w:t xml:space="preserve">Last-mile delivery</w:t>
            </w:r>
          </w:p>
        </w:tc>
        <w:tc>
          <w:tcPr/>
          <w:p>
            <w:pPr>
              <w:pStyle w:val="Compact"/>
              <w:jc w:val="left"/>
            </w:pPr>
            <w:r>
              <w:t xml:space="preserve">0.15 kgCO2e/tkm</w:t>
            </w:r>
          </w:p>
        </w:tc>
        <w:tc>
          <w:tcPr/>
          <w:p>
            <w:pPr>
              <w:pStyle w:val="Compact"/>
              <w:jc w:val="left"/>
            </w:pPr>
            <w:r>
              <w:t xml:space="preserve">Illustrative, for light commercial vehicles.</w:t>
            </w:r>
          </w:p>
        </w:tc>
      </w:tr>
      <w:tr>
        <w:tc>
          <w:tcPr/>
          <w:p>
            <w:pPr>
              <w:pStyle w:val="Compact"/>
              <w:jc w:val="left"/>
            </w:pPr>
            <w:r>
              <w:t xml:space="preserve">Waste Disposal</w:t>
            </w:r>
          </w:p>
        </w:tc>
        <w:tc>
          <w:tcPr/>
          <w:p>
            <w:pPr>
              <w:pStyle w:val="Compact"/>
              <w:jc w:val="left"/>
            </w:pPr>
            <w:r>
              <w:t xml:space="preserve">Landfill (mixed waste)</w:t>
            </w:r>
          </w:p>
        </w:tc>
        <w:tc>
          <w:tcPr/>
          <w:p>
            <w:pPr>
              <w:pStyle w:val="Compact"/>
              <w:jc w:val="left"/>
            </w:pPr>
            <w:r>
              <w:t xml:space="preserve">0.05 kgCO2e/kg</w:t>
            </w:r>
          </w:p>
        </w:tc>
        <w:tc>
          <w:tcPr/>
          <w:p>
            <w:pPr>
              <w:pStyle w:val="Compact"/>
              <w:jc w:val="left"/>
            </w:pPr>
            <w:r>
              <w:t xml:space="preserve">Illustrative, for mixed municipal waste.</w:t>
            </w:r>
          </w:p>
        </w:tc>
      </w:tr>
      <w:tr>
        <w:tc>
          <w:tcPr/>
          <w:p>
            <w:pPr>
              <w:pStyle w:val="Compact"/>
              <w:jc w:val="left"/>
            </w:pPr>
            <w:r>
              <w:t xml:space="preserve">Recycling Benefit (Plastic)</w:t>
            </w:r>
          </w:p>
        </w:tc>
        <w:tc>
          <w:tcPr/>
          <w:p>
            <w:pPr>
              <w:pStyle w:val="Compact"/>
              <w:jc w:val="left"/>
            </w:pPr>
            <w:r>
              <w:t xml:space="preserve">Avoided emissions</w:t>
            </w:r>
          </w:p>
        </w:tc>
        <w:tc>
          <w:tcPr/>
          <w:p>
            <w:pPr>
              <w:pStyle w:val="Compact"/>
              <w:jc w:val="left"/>
            </w:pPr>
            <w:r>
              <w:t xml:space="preserve">-1.5 kgCO2e/kg</w:t>
            </w:r>
          </w:p>
        </w:tc>
        <w:tc>
          <w:tcPr/>
          <w:p>
            <w:pPr>
              <w:pStyle w:val="Compact"/>
              <w:jc w:val="left"/>
            </w:pPr>
            <w:r>
              <w:t xml:space="preserve">Illustrative, avoided virgin material production.</w:t>
            </w:r>
          </w:p>
        </w:tc>
      </w:tr>
      <w:tr>
        <w:tc>
          <w:tcPr/>
          <w:p>
            <w:pPr>
              <w:pStyle w:val="Compact"/>
              <w:jc w:val="left"/>
            </w:pPr>
            <w:r>
              <w:t xml:space="preserve">Recycling Benefit (Metals)</w:t>
            </w:r>
          </w:p>
        </w:tc>
        <w:tc>
          <w:tcPr/>
          <w:p>
            <w:pPr>
              <w:pStyle w:val="Compact"/>
              <w:jc w:val="left"/>
            </w:pPr>
            <w:r>
              <w:t xml:space="preserve">Avoided emissions</w:t>
            </w:r>
          </w:p>
        </w:tc>
        <w:tc>
          <w:tcPr/>
          <w:p>
            <w:pPr>
              <w:pStyle w:val="Compact"/>
              <w:jc w:val="left"/>
            </w:pPr>
            <w:r>
              <w:t xml:space="preserve">-3.0 kgCO2e/kg</w:t>
            </w:r>
          </w:p>
        </w:tc>
        <w:tc>
          <w:tcPr/>
          <w:p>
            <w:pPr>
              <w:pStyle w:val="Compact"/>
              <w:jc w:val="left"/>
            </w:pPr>
            <w:r>
              <w:t xml:space="preserve">Illustrative, avoided virgin material production.</w:t>
            </w:r>
          </w:p>
        </w:tc>
      </w:tr>
    </w:tbl>
    <w:p>
      <w:r>
        <w:pict>
          <v:rect style="width:0;height:1.5pt" o:hralign="center" o:hrstd="t" o:hr="t"/>
        </w:pict>
      </w:r>
    </w:p>
    <w:bookmarkEnd w:id="35"/>
    <w:bookmarkEnd w:id="36"/>
    <w:bookmarkStart w:id="44" w:name="X439a6e6dcb43c636bf515ffaf3f59bce0bd6490"/>
    <w:p>
      <w:pPr>
        <w:pStyle w:val="Heading2"/>
      </w:pPr>
      <w:r>
        <w:t xml:space="preserve">4. Emission Calculation (Activity * Emission Factor = CO2e)</w:t>
      </w:r>
    </w:p>
    <w:p>
      <w:pPr>
        <w:pStyle w:val="FirstParagraph"/>
      </w:pPr>
      <w:r>
        <w:t xml:space="preserve">The total Product Carbon Footprint (PCF) for one functional unit of "rwkmusnfwl" is calculated by summing the emissions across all lifecycle stages.</w:t>
      </w:r>
    </w:p>
    <w:bookmarkStart w:id="37" w:name="X1ad9a0c33edfd883cba8e7eb5d0853356860b8a"/>
    <w:p>
      <w:pPr>
        <w:pStyle w:val="Heading3"/>
      </w:pPr>
      <w:r>
        <w:t xml:space="preserve">4.1. Material Acquisition &amp; Pre-processing (Scope 3, Category 1)</w:t>
      </w:r>
    </w:p>
    <w:p>
      <w:pPr>
        <w:pStyle w:val="FirstParagraph"/>
      </w:pPr>
      <w:r>
        <w:t xml:space="preserve">Based on the provided (illustrative) Detailed Bill of Materials (kgyrgmiy), the pre-calculated total carbon from material acquisition is directly utilized.</w:t>
      </w:r>
    </w:p>
    <w:p>
      <w:pPr>
        <w:numPr>
          <w:ilvl w:val="0"/>
          <w:numId w:val="1006"/>
        </w:numPr>
        <w:pStyle w:val="Compact"/>
      </w:pPr>
      <w:r>
        <w:rPr>
          <w:bCs/>
          <w:b/>
        </w:rPr>
        <w:t xml:space="preserve">Total Carbon from Materials:</w:t>
      </w:r>
      <w:r>
        <w:t xml:space="preserve"> </w:t>
      </w:r>
      <w:r>
        <w:t xml:space="preserve">3.95 kg CO2e</w:t>
      </w:r>
    </w:p>
    <w:bookmarkEnd w:id="37"/>
    <w:bookmarkStart w:id="38" w:name="Xc14acf75c031fc01c2155513c01f9f679ab8b8c"/>
    <w:p>
      <w:pPr>
        <w:pStyle w:val="Heading3"/>
      </w:pPr>
      <w:r>
        <w:t xml:space="preserve">4.2. Manufacturing / Production (Scope 3, Category 1)</w:t>
      </w:r>
    </w:p>
    <w:p>
      <w:pPr>
        <w:pStyle w:val="FirstParagraph"/>
      </w:pPr>
      <w:r>
        <w:t xml:space="preserve">Emissions from energy consumption during the manufacturing phase in China, incorporating renewable energy usage.</w:t>
      </w:r>
    </w:p>
    <w:p>
      <w:pPr>
        <w:numPr>
          <w:ilvl w:val="0"/>
          <w:numId w:val="1007"/>
        </w:numPr>
        <w:pStyle w:val="Compact"/>
      </w:pPr>
      <w:r>
        <w:rPr>
          <w:bCs/>
          <w:b/>
        </w:rPr>
        <w:t xml:space="preserve">Energy Intensity (qqthqmizxl):</w:t>
      </w:r>
      <w:r>
        <w:t xml:space="preserve"> </w:t>
      </w:r>
      <w:r>
        <w:t xml:space="preserve">12 kWh/unit (illustrative)</w:t>
      </w:r>
    </w:p>
    <w:p>
      <w:pPr>
        <w:numPr>
          <w:ilvl w:val="0"/>
          <w:numId w:val="1007"/>
        </w:numPr>
        <w:pStyle w:val="Compact"/>
      </w:pPr>
      <w:r>
        <w:rPr>
          <w:bCs/>
          <w:b/>
        </w:rPr>
        <w:t xml:space="preserve">Renewable Energy Usage (jrwloieypq):</w:t>
      </w:r>
      <w:r>
        <w:t xml:space="preserve"> </w:t>
      </w:r>
      <w:r>
        <w:t xml:space="preserve">50% (illustrative)</w:t>
      </w:r>
    </w:p>
    <w:p>
      <w:pPr>
        <w:numPr>
          <w:ilvl w:val="0"/>
          <w:numId w:val="1007"/>
        </w:numPr>
        <w:pStyle w:val="Compact"/>
      </w:pPr>
      <w:r>
        <w:rPr>
          <w:bCs/>
          <w:b/>
        </w:rPr>
        <w:t xml:space="preserve">Non-renewable electricity used:</w:t>
      </w:r>
      <w:r>
        <w:t xml:space="preserve"> </w:t>
      </w:r>
      <w:r>
        <w:t xml:space="preserve">12 kWh * (1 - 0.50) = 6 kWh</w:t>
      </w:r>
    </w:p>
    <w:p>
      <w:pPr>
        <w:numPr>
          <w:ilvl w:val="0"/>
          <w:numId w:val="1007"/>
        </w:numPr>
        <w:pStyle w:val="Compact"/>
      </w:pPr>
      <w:r>
        <w:rPr>
          <w:bCs/>
          <w:b/>
        </w:rPr>
        <w:t xml:space="preserve">Renewable electricity used:</w:t>
      </w:r>
      <w:r>
        <w:t xml:space="preserve"> </w:t>
      </w:r>
      <w:r>
        <w:t xml:space="preserve">12 kWh * 0.50 = 6 kWh</w:t>
      </w:r>
    </w:p>
    <w:p>
      <w:pPr>
        <w:numPr>
          <w:ilvl w:val="0"/>
          <w:numId w:val="1007"/>
        </w:numPr>
        <w:pStyle w:val="Compact"/>
      </w:pPr>
      <w:r>
        <w:rPr>
          <w:bCs/>
          <w:b/>
        </w:rPr>
        <w:t xml:space="preserve">Emissions from non-renewable electricity:</w:t>
      </w:r>
      <w:r>
        <w:t xml:space="preserve"> </w:t>
      </w:r>
      <w:r>
        <w:t xml:space="preserve">6 kWh * 0.60 kgCO2e/kWh (China Grid EF) = 3.60 kg CO2e</w:t>
      </w:r>
    </w:p>
    <w:p>
      <w:pPr>
        <w:numPr>
          <w:ilvl w:val="0"/>
          <w:numId w:val="1007"/>
        </w:numPr>
        <w:pStyle w:val="Compact"/>
      </w:pPr>
      <w:r>
        <w:rPr>
          <w:bCs/>
          <w:b/>
        </w:rPr>
        <w:t xml:space="preserve">Emissions from renewable electricity:</w:t>
      </w:r>
      <w:r>
        <w:t xml:space="preserve"> </w:t>
      </w:r>
      <w:r>
        <w:t xml:space="preserve">6 kWh * 0.02 kgCO2e/kWh (Renewable EF) = 0.12 kg CO2e</w:t>
      </w:r>
    </w:p>
    <w:p>
      <w:pPr>
        <w:numPr>
          <w:ilvl w:val="0"/>
          <w:numId w:val="1007"/>
        </w:numPr>
        <w:pStyle w:val="Compact"/>
      </w:pPr>
      <w:r>
        <w:rPr>
          <w:bCs/>
          <w:b/>
        </w:rPr>
        <w:t xml:space="preserve">Total Production Emissions:</w:t>
      </w:r>
      <w:r>
        <w:t xml:space="preserve"> </w:t>
      </w:r>
      <w:r>
        <w:t xml:space="preserve">3.60 + 0.12 =</w:t>
      </w:r>
      <w:r>
        <w:t xml:space="preserve"> </w:t>
      </w:r>
      <w:r>
        <w:rPr>
          <w:bCs/>
          <w:b/>
        </w:rPr>
        <w:t xml:space="preserve">3.72 kg CO2e</w:t>
      </w:r>
    </w:p>
    <w:bookmarkEnd w:id="38"/>
    <w:bookmarkStart w:id="39" w:name="X83c95e17e1e544d407e191e234411bdc0d2add6"/>
    <w:p>
      <w:pPr>
        <w:pStyle w:val="Heading3"/>
      </w:pPr>
      <w:r>
        <w:t xml:space="preserve">4.3. Upstream Transportation &amp; Distribution (Scope 3, Category 4)</w:t>
      </w:r>
    </w:p>
    <w:p>
      <w:pPr>
        <w:pStyle w:val="FirstParagraph"/>
      </w:pPr>
      <w:r>
        <w:t xml:space="preserve">Transport of the product from the manufacturing facility in China to the European distribution hub. The total weight of one unit of rwkmusnfwl is 0.75 kg (0.00075 tonnes).</w:t>
      </w:r>
    </w:p>
    <w:p>
      <w:pPr>
        <w:numPr>
          <w:ilvl w:val="0"/>
          <w:numId w:val="1008"/>
        </w:numPr>
        <w:pStyle w:val="Compact"/>
      </w:pPr>
      <w:r>
        <w:rPr>
          <w:bCs/>
          <w:b/>
        </w:rPr>
        <w:t xml:space="preserve">Ocean Freight (China to Europe - ovqpwmwjpq):</w:t>
      </w:r>
      <w:r>
        <w:t xml:space="preserve"> </w:t>
      </w:r>
      <w:r>
        <w:t xml:space="preserve">12000 km (illustrative)</w:t>
      </w:r>
    </w:p>
    <w:p>
      <w:pPr>
        <w:numPr>
          <w:ilvl w:val="0"/>
          <w:numId w:val="1008"/>
        </w:numPr>
        <w:pStyle w:val="Compact"/>
      </w:pPr>
      <w:r>
        <w:rPr>
          <w:bCs/>
          <w:b/>
        </w:rPr>
        <w:t xml:space="preserve">Emissions (Ocean Freight):</w:t>
      </w:r>
      <w:r>
        <w:t xml:space="preserve"> </w:t>
      </w:r>
      <w:r>
        <w:t xml:space="preserve">0.00075 t * 12000 km * 0.016 kgCO2e/tkm = 0.144 kg CO2e</w:t>
      </w:r>
    </w:p>
    <w:p>
      <w:pPr>
        <w:numPr>
          <w:ilvl w:val="0"/>
          <w:numId w:val="1008"/>
        </w:numPr>
        <w:pStyle w:val="Compact"/>
      </w:pPr>
      <w:r>
        <w:rPr>
          <w:bCs/>
          <w:b/>
        </w:rPr>
        <w:t xml:space="preserve">Road Freight (European Distribution - ovqpwmwjpq):</w:t>
      </w:r>
      <w:r>
        <w:t xml:space="preserve"> </w:t>
      </w:r>
      <w:r>
        <w:t xml:space="preserve">500 km (illustrative)</w:t>
      </w:r>
    </w:p>
    <w:p>
      <w:pPr>
        <w:numPr>
          <w:ilvl w:val="0"/>
          <w:numId w:val="1008"/>
        </w:numPr>
        <w:pStyle w:val="Compact"/>
      </w:pPr>
      <w:r>
        <w:rPr>
          <w:bCs/>
          <w:b/>
        </w:rPr>
        <w:t xml:space="preserve">Emissions (Road Freight):</w:t>
      </w:r>
      <w:r>
        <w:t xml:space="preserve"> </w:t>
      </w:r>
      <w:r>
        <w:t xml:space="preserve">0.00075 t * 500 km * 0.10 kgCO2e/tkm = 0.0375 kg CO2e</w:t>
      </w:r>
    </w:p>
    <w:p>
      <w:pPr>
        <w:numPr>
          <w:ilvl w:val="0"/>
          <w:numId w:val="1008"/>
        </w:numPr>
        <w:pStyle w:val="Compact"/>
      </w:pPr>
      <w:r>
        <w:rPr>
          <w:bCs/>
          <w:b/>
        </w:rPr>
        <w:t xml:space="preserve">Total Upstream Transport Emissions:</w:t>
      </w:r>
      <w:r>
        <w:t xml:space="preserve"> </w:t>
      </w:r>
      <w:r>
        <w:t xml:space="preserve">0.144 + 0.0375 =</w:t>
      </w:r>
      <w:r>
        <w:t xml:space="preserve"> </w:t>
      </w:r>
      <w:r>
        <w:rPr>
          <w:bCs/>
          <w:b/>
        </w:rPr>
        <w:t xml:space="preserve">0.1815 kg CO2e</w:t>
      </w:r>
    </w:p>
    <w:bookmarkEnd w:id="39"/>
    <w:bookmarkStart w:id="40" w:name="X5074843db946a7834c509b0230be0fe66970140"/>
    <w:p>
      <w:pPr>
        <w:pStyle w:val="Heading3"/>
      </w:pPr>
      <w:r>
        <w:t xml:space="preserve">4.4. Downstream Transportation &amp; Distribution (Scope 3, Category 9)</w:t>
      </w:r>
    </w:p>
    <w:p>
      <w:pPr>
        <w:pStyle w:val="FirstParagraph"/>
      </w:pPr>
      <w:r>
        <w:t xml:space="preserve">Last-mile delivery from the European distribution hub to the end-customer.</w:t>
      </w:r>
    </w:p>
    <w:p>
      <w:pPr>
        <w:numPr>
          <w:ilvl w:val="0"/>
          <w:numId w:val="1009"/>
        </w:numPr>
        <w:pStyle w:val="Compact"/>
      </w:pPr>
      <w:r>
        <w:rPr>
          <w:bCs/>
          <w:b/>
        </w:rPr>
        <w:t xml:space="preserve">Last-Mile Delivery (Delivery Type - ovqpwmwjpq):</w:t>
      </w:r>
      <w:r>
        <w:t xml:space="preserve"> </w:t>
      </w:r>
      <w:r>
        <w:t xml:space="preserve">50 km (illustrative, Parcel Courier)</w:t>
      </w:r>
    </w:p>
    <w:p>
      <w:pPr>
        <w:numPr>
          <w:ilvl w:val="0"/>
          <w:numId w:val="1009"/>
        </w:numPr>
        <w:pStyle w:val="Compact"/>
      </w:pPr>
      <w:r>
        <w:rPr>
          <w:bCs/>
          <w:b/>
        </w:rPr>
        <w:t xml:space="preserve">Emissions (Last-Mile Delivery):</w:t>
      </w:r>
      <w:r>
        <w:t xml:space="preserve"> </w:t>
      </w:r>
      <w:r>
        <w:t xml:space="preserve">0.00075 t * 50 km * 0.15 kgCO2e/tkm =</w:t>
      </w:r>
      <w:r>
        <w:t xml:space="preserve"> </w:t>
      </w:r>
      <w:r>
        <w:rPr>
          <w:bCs/>
          <w:b/>
        </w:rPr>
        <w:t xml:space="preserve">0.005625 kg CO2e</w:t>
      </w:r>
    </w:p>
    <w:bookmarkEnd w:id="40"/>
    <w:bookmarkStart w:id="41" w:name="use-phase-scope-3-category-11"/>
    <w:p>
      <w:pPr>
        <w:pStyle w:val="Heading3"/>
      </w:pPr>
      <w:r>
        <w:t xml:space="preserve">4.5. Use Phase (Scope 3, Category 11)</w:t>
      </w:r>
    </w:p>
    <w:p>
      <w:pPr>
        <w:pStyle w:val="FirstParagraph"/>
      </w:pPr>
      <w:r>
        <w:t xml:space="preserve">Energy consumption during the product\'s lifespan, assuming use in Europe.</w:t>
      </w:r>
    </w:p>
    <w:p>
      <w:pPr>
        <w:numPr>
          <w:ilvl w:val="0"/>
          <w:numId w:val="1010"/>
        </w:numPr>
        <w:pStyle w:val="Compact"/>
      </w:pPr>
      <w:r>
        <w:rPr>
          <w:bCs/>
          <w:b/>
        </w:rPr>
        <w:t xml:space="preserve">Product Lifespan (ozdnzvgtoz):</w:t>
      </w:r>
      <w:r>
        <w:t xml:space="preserve"> </w:t>
      </w:r>
      <w:r>
        <w:t xml:space="preserve">4 years (illustrative)</w:t>
      </w:r>
    </w:p>
    <w:p>
      <w:pPr>
        <w:numPr>
          <w:ilvl w:val="0"/>
          <w:numId w:val="1010"/>
        </w:numPr>
        <w:pStyle w:val="Compact"/>
      </w:pPr>
      <w:r>
        <w:rPr>
          <w:bCs/>
          <w:b/>
        </w:rPr>
        <w:t xml:space="preserve">Energy Consumption in Use (dkegiyttyy):</w:t>
      </w:r>
      <w:r>
        <w:t xml:space="preserve"> </w:t>
      </w:r>
      <w:r>
        <w:t xml:space="preserve">8 kWh/year (illustrative)</w:t>
      </w:r>
    </w:p>
    <w:p>
      <w:pPr>
        <w:numPr>
          <w:ilvl w:val="0"/>
          <w:numId w:val="1010"/>
        </w:numPr>
        <w:pStyle w:val="Compact"/>
      </w:pPr>
      <w:r>
        <w:rPr>
          <w:bCs/>
          <w:b/>
        </w:rPr>
        <w:t xml:space="preserve">Total energy consumption over lifespan:</w:t>
      </w:r>
      <w:r>
        <w:t xml:space="preserve"> </w:t>
      </w:r>
      <w:r>
        <w:t xml:space="preserve">8 kWh/year * 4 years = 32 kWh</w:t>
      </w:r>
    </w:p>
    <w:p>
      <w:pPr>
        <w:numPr>
          <w:ilvl w:val="0"/>
          <w:numId w:val="1010"/>
        </w:numPr>
        <w:pStyle w:val="Compact"/>
      </w:pPr>
      <w:r>
        <w:rPr>
          <w:bCs/>
          <w:b/>
        </w:rPr>
        <w:t xml:space="preserve">Emissions (European Grid):</w:t>
      </w:r>
      <w:r>
        <w:t xml:space="preserve"> </w:t>
      </w:r>
      <w:r>
        <w:t xml:space="preserve">32 kWh * 0.30 kgCO2e/kWh (European Grid EF) =</w:t>
      </w:r>
      <w:r>
        <w:t xml:space="preserve"> </w:t>
      </w:r>
      <w:r>
        <w:rPr>
          <w:bCs/>
          <w:b/>
        </w:rPr>
        <w:t xml:space="preserve">9.60 kg CO2e</w:t>
      </w:r>
    </w:p>
    <w:bookmarkEnd w:id="41"/>
    <w:bookmarkStart w:id="42" w:name="Xd8b0cc1007d2f3c714880ecf2ca12af4f909441"/>
    <w:p>
      <w:pPr>
        <w:pStyle w:val="Heading3"/>
      </w:pPr>
      <w:r>
        <w:t xml:space="preserve">4.6. End-of-Life (EoL) Treatment (Scope 3, Category 12)</w:t>
      </w:r>
    </w:p>
    <w:p>
      <w:pPr>
        <w:pStyle w:val="FirstParagraph"/>
      </w:pPr>
      <w:r>
        <w:t xml:space="preserve">Impacts at the end of the product\'s life, considering recyclability and circular programs. The total product weight is 0.75 kg.</w:t>
      </w:r>
    </w:p>
    <w:p>
      <w:pPr>
        <w:numPr>
          <w:ilvl w:val="0"/>
          <w:numId w:val="1011"/>
        </w:numPr>
        <w:pStyle w:val="Compact"/>
      </w:pPr>
      <w:r>
        <w:rPr>
          <w:bCs/>
          <w:b/>
        </w:rPr>
        <w:t xml:space="preserve">Recyclability Percentage (wpdxotflue):</w:t>
      </w:r>
      <w:r>
        <w:t xml:space="preserve"> </w:t>
      </w:r>
      <w:r>
        <w:t xml:space="preserve">75% (illustrative)</w:t>
      </w:r>
    </w:p>
    <w:p>
      <w:pPr>
        <w:numPr>
          <w:ilvl w:val="0"/>
          <w:numId w:val="1011"/>
        </w:numPr>
        <w:pStyle w:val="Compact"/>
      </w:pPr>
      <w:r>
        <w:rPr>
          <w:bCs/>
          <w:b/>
        </w:rPr>
        <w:t xml:space="preserve">Weight recycled:</w:t>
      </w:r>
      <w:r>
        <w:t xml:space="preserve"> </w:t>
      </w:r>
      <w:r>
        <w:t xml:space="preserve">0.75 kg * 0.75 = 0.5625 kg</w:t>
      </w:r>
    </w:p>
    <w:p>
      <w:pPr>
        <w:numPr>
          <w:ilvl w:val="0"/>
          <w:numId w:val="1011"/>
        </w:numPr>
        <w:pStyle w:val="Compact"/>
      </w:pPr>
      <w:r>
        <w:rPr>
          <w:bCs/>
          <w:b/>
        </w:rPr>
        <w:t xml:space="preserve">Weight to landfill:</w:t>
      </w:r>
      <w:r>
        <w:t xml:space="preserve"> </w:t>
      </w:r>
      <w:r>
        <w:t xml:space="preserve">0.75 kg * (1 - 0.75) = 0.1875 kg</w:t>
      </w:r>
    </w:p>
    <w:p>
      <w:pPr>
        <w:numPr>
          <w:ilvl w:val="0"/>
          <w:numId w:val="1011"/>
        </w:numPr>
        <w:pStyle w:val="Compact"/>
      </w:pPr>
      <w:r>
        <w:rPr>
          <w:bCs/>
          <w:b/>
        </w:rPr>
        <w:t xml:space="preserve">Circular/Take-back Programs (mqzpeupviw):</w:t>
      </w:r>
      <w:r>
        <w:t xml:space="preserve"> </w:t>
      </w:r>
      <w:r>
        <w:t xml:space="preserve">"Established take-back program for product refurbishment and material recovery, promoting component reuse and closed-loop recycling." (Illustrative)</w:t>
      </w:r>
    </w:p>
    <w:p>
      <w:pPr>
        <w:numPr>
          <w:ilvl w:val="0"/>
          <w:numId w:val="1011"/>
        </w:numPr>
        <w:pStyle w:val="Compact"/>
      </w:pPr>
      <w:r>
        <w:rPr>
          <w:bCs/>
          <w:b/>
        </w:rPr>
        <w:t xml:space="preserve">Avoided emissions from recycling:</w:t>
      </w:r>
      <w:r>
        <w:t xml:space="preserve"> </w:t>
      </w:r>
      <w:r>
        <w:t xml:space="preserve">0.5625 kg * -2.0 kgCO2e/kg (average illustrative recycling benefit) = -1.125 kg CO2e</w:t>
      </w:r>
    </w:p>
    <w:p>
      <w:pPr>
        <w:numPr>
          <w:ilvl w:val="0"/>
          <w:numId w:val="1011"/>
        </w:numPr>
        <w:pStyle w:val="Compact"/>
      </w:pPr>
      <w:r>
        <w:rPr>
          <w:bCs/>
          <w:b/>
        </w:rPr>
        <w:t xml:space="preserve">Emissions from landfill:</w:t>
      </w:r>
      <w:r>
        <w:t xml:space="preserve"> </w:t>
      </w:r>
      <w:r>
        <w:t xml:space="preserve">0.1875 kg * 0.05 kgCO2e/kg (landfill EF) = 0.009375 kg CO2e</w:t>
      </w:r>
    </w:p>
    <w:p>
      <w:pPr>
        <w:numPr>
          <w:ilvl w:val="0"/>
          <w:numId w:val="1011"/>
        </w:numPr>
        <w:pStyle w:val="Compact"/>
      </w:pPr>
      <w:r>
        <w:rPr>
          <w:bCs/>
          <w:b/>
        </w:rPr>
        <w:t xml:space="preserve">Net End-of-Life Emissions:</w:t>
      </w:r>
      <w:r>
        <w:t xml:space="preserve"> </w:t>
      </w:r>
      <w:r>
        <w:t xml:space="preserve">-1.125 + 0.009375 =</w:t>
      </w:r>
      <w:r>
        <w:t xml:space="preserve"> </w:t>
      </w:r>
      <w:r>
        <w:rPr>
          <w:bCs/>
          <w:b/>
        </w:rPr>
        <w:t xml:space="preserve">-1.115625 kg CO2e</w:t>
      </w:r>
      <w:r>
        <w:t xml:space="preserve"> </w:t>
      </w:r>
      <w:r>
        <w:t xml:space="preserve">(net benefit)</w:t>
      </w:r>
    </w:p>
    <w:bookmarkEnd w:id="42"/>
    <w:bookmarkStart w:id="43" w:name="X0f3488bcba361a9b778be3edf1d671e504e0563"/>
    <w:p>
      <w:pPr>
        <w:pStyle w:val="Heading3"/>
      </w:pPr>
      <w:r>
        <w:t xml:space="preserve">4.7. Total Product Carbon Footprint (PCF) for rwkmusnfwl</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3.95</w:t>
            </w:r>
          </w:p>
        </w:tc>
      </w:tr>
      <w:tr>
        <w:tc>
          <w:tcPr/>
          <w:p>
            <w:pPr>
              <w:pStyle w:val="Compact"/>
              <w:jc w:val="left"/>
            </w:pPr>
            <w:r>
              <w:t xml:space="preserve">Manufacturing / Production</w:t>
            </w:r>
          </w:p>
        </w:tc>
        <w:tc>
          <w:tcPr/>
          <w:p>
            <w:pPr>
              <w:pStyle w:val="Compact"/>
              <w:jc w:val="left"/>
            </w:pPr>
            <w:r>
              <w:t xml:space="preserve">Scope 3, Category 1</w:t>
            </w:r>
          </w:p>
        </w:tc>
        <w:tc>
          <w:tcPr/>
          <w:p>
            <w:pPr>
              <w:pStyle w:val="Compact"/>
              <w:jc w:val="left"/>
            </w:pPr>
            <w:r>
              <w:t xml:space="preserve">3.72</w:t>
            </w:r>
          </w:p>
        </w:tc>
      </w:tr>
      <w:tr>
        <w:tc>
          <w:tcPr/>
          <w:p>
            <w:pPr>
              <w:pStyle w:val="Compact"/>
              <w:jc w:val="left"/>
            </w:pPr>
            <w:r>
              <w:t xml:space="preserve">Upstream Transportation &amp; Distribution</w:t>
            </w:r>
          </w:p>
        </w:tc>
        <w:tc>
          <w:tcPr/>
          <w:p>
            <w:pPr>
              <w:pStyle w:val="Compact"/>
              <w:jc w:val="left"/>
            </w:pPr>
            <w:r>
              <w:t xml:space="preserve">Scope 3, Category 4</w:t>
            </w:r>
          </w:p>
        </w:tc>
        <w:tc>
          <w:tcPr/>
          <w:p>
            <w:pPr>
              <w:pStyle w:val="Compact"/>
              <w:jc w:val="left"/>
            </w:pPr>
            <w:r>
              <w:t xml:space="preserve">0.1815</w:t>
            </w:r>
          </w:p>
        </w:tc>
      </w:tr>
      <w:tr>
        <w:tc>
          <w:tcPr/>
          <w:p>
            <w:pPr>
              <w:pStyle w:val="Compact"/>
              <w:jc w:val="left"/>
            </w:pPr>
            <w:r>
              <w:t xml:space="preserve">Downstream Transportation &amp; Distribution</w:t>
            </w:r>
          </w:p>
        </w:tc>
        <w:tc>
          <w:tcPr/>
          <w:p>
            <w:pPr>
              <w:pStyle w:val="Compact"/>
              <w:jc w:val="left"/>
            </w:pPr>
            <w:r>
              <w:t xml:space="preserve">Scope 3, Category 9</w:t>
            </w:r>
          </w:p>
        </w:tc>
        <w:tc>
          <w:tcPr/>
          <w:p>
            <w:pPr>
              <w:pStyle w:val="Compact"/>
              <w:jc w:val="left"/>
            </w:pPr>
            <w:r>
              <w:t xml:space="preserve">0.0056</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9.60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-1.1156</w:t>
            </w:r>
          </w:p>
        </w:tc>
      </w:tr>
      <w:tr>
        <w:tc>
          <w:tcPr>
            <w:gridSpan w:val="2"/>
          </w:tcPr>
          <w:p>
            <w:pPr>
              <w:pStyle w:val="Compact"/>
              <w:jc w:val="left"/>
            </w:pPr>
            <w:r>
              <w:rPr>
                <w:bCs/>
                <w:b/>
              </w:rPr>
              <w:t xml:space="preserve">TOTAL PRODUCT CARBON FOOTPRINT (per 1.0 unit)</w:t>
            </w:r>
          </w:p>
        </w:tc>
        <w:tc>
          <w:tcPr/>
          <w:p>
            <w:pPr>
              <w:pStyle w:val="Compact"/>
              <w:jc w:val="left"/>
            </w:pPr>
            <w:r>
              <w:rPr>
                <w:bCs/>
                <w:b/>
              </w:rPr>
              <w:t xml:space="preserve">16.34 kg CO2e</w:t>
            </w:r>
          </w:p>
        </w:tc>
      </w:tr>
    </w:tbl>
    <w:p>
      <w:r>
        <w:pict>
          <v:rect style="width:0;height:1.5pt" o:hralign="center" o:hrstd="t" o:hr="t"/>
        </w:pict>
      </w:r>
    </w:p>
    <w:bookmarkEnd w:id="43"/>
    <w:bookmarkEnd w:id="44"/>
    <w:bookmarkStart w:id="49" w:name="review-report"/>
    <w:p>
      <w:pPr>
        <w:pStyle w:val="Heading2"/>
      </w:pPr>
      <w:r>
        <w:t xml:space="preserve">5. Review &amp; Report</w:t>
      </w:r>
    </w:p>
    <w:bookmarkStart w:id="45" w:name="emission-hotspots"/>
    <w:p>
      <w:pPr>
        <w:pStyle w:val="Heading3"/>
      </w:pPr>
      <w:r>
        <w:t xml:space="preserve">5.1. Emission Hotspots</w:t>
      </w:r>
    </w:p>
    <w:p>
      <w:pPr>
        <w:pStyle w:val="FirstParagraph"/>
      </w:pPr>
      <w:r>
        <w:t xml:space="preserve">The analysis reveals the following major emission hotspots for one unit of "rwkmusnfwl":</w:t>
      </w:r>
    </w:p>
    <w:p>
      <w:pPr>
        <w:numPr>
          <w:ilvl w:val="0"/>
          <w:numId w:val="1012"/>
        </w:numPr>
        <w:pStyle w:val="Compact"/>
      </w:pPr>
      <w:r>
        <w:rPr>
          <w:bCs/>
          <w:b/>
        </w:rPr>
        <w:t xml:space="preserve">Use Phase (9.60 kg CO2e):</w:t>
      </w:r>
      <w:r>
        <w:t xml:space="preserve"> </w:t>
      </w:r>
      <w:r>
        <w:t xml:space="preserve">This stage represents the largest contributor to the product\'s carbon footprint, primarily due to the ongoing electricity consumption during its 4-year illustrative lifespan.</w:t>
      </w:r>
    </w:p>
    <w:p>
      <w:pPr>
        <w:numPr>
          <w:ilvl w:val="0"/>
          <w:numId w:val="1012"/>
        </w:numPr>
        <w:pStyle w:val="Compact"/>
      </w:pPr>
      <w:r>
        <w:rPr>
          <w:bCs/>
          <w:b/>
        </w:rPr>
        <w:t xml:space="preserve">Material Acquisition &amp; Pre-processing (3.95 kg CO2e):</w:t>
      </w:r>
      <w:r>
        <w:t xml:space="preserve"> </w:t>
      </w:r>
      <w:r>
        <w:t xml:space="preserve">The production of raw materials and components, particularly the Printed Circuit Board and Lithium-ion Battery, contributes significantly to the upstream emissions.</w:t>
      </w:r>
    </w:p>
    <w:p>
      <w:pPr>
        <w:numPr>
          <w:ilvl w:val="0"/>
          <w:numId w:val="1012"/>
        </w:numPr>
        <w:pStyle w:val="Compact"/>
      </w:pPr>
      <w:r>
        <w:rPr>
          <w:bCs/>
          <w:b/>
        </w:rPr>
        <w:t xml:space="preserve">Manufacturing / Production (3.72 kg CO2e):</w:t>
      </w:r>
      <w:r>
        <w:t xml:space="preserve"> </w:t>
      </w:r>
      <w:r>
        <w:t xml:space="preserve">The energy consumed in the manufacturing plant, despite 50% illustrative renewable energy usage, remains a substantial contributor.</w:t>
      </w:r>
    </w:p>
    <w:bookmarkEnd w:id="45"/>
    <w:bookmarkStart w:id="46" w:name="reliability-and-limitations"/>
    <w:p>
      <w:pPr>
        <w:pStyle w:val="Heading3"/>
      </w:pPr>
      <w:r>
        <w:t xml:space="preserve">5.2. Reliability and Limitations</w:t>
      </w:r>
    </w:p>
    <w:p>
      <w:pPr>
        <w:pStyle w:val="FirstParagraph"/>
      </w:pPr>
      <w:r>
        <w:t xml:space="preserve">The reliability of this report is high in terms of methodological adherence to the GHG Protocol. However, the accuracy of the numerical results is directly dependent on the quality and specificity of the input data.</w:t>
      </w:r>
    </w:p>
    <w:p>
      <w:pPr>
        <w:numPr>
          <w:ilvl w:val="0"/>
          <w:numId w:val="1013"/>
        </w:numPr>
        <w:pStyle w:val="Compact"/>
      </w:pPr>
      <w:r>
        <w:rPr>
          <w:bCs/>
          <w:b/>
        </w:rPr>
        <w:t xml:space="preserve">Illustrative Data:</w:t>
      </w:r>
      <w:r>
        <w:t xml:space="preserve"> </w:t>
      </w:r>
      <w:r>
        <w:t xml:space="preserve">A key limitation is the use of illustrative numerical values for several parameters (e.g., transport distance, energy intensity, lifespan, recyclability percentages) where only placeholder strings were provided in the prompt. While efforts were made to use representative industry averages, actual values from prjjmndmmk\'s operations would yield a more precise footprint.</w:t>
      </w:r>
    </w:p>
    <w:p>
      <w:pPr>
        <w:numPr>
          <w:ilvl w:val="0"/>
          <w:numId w:val="1013"/>
        </w:numPr>
        <w:pStyle w:val="Compact"/>
      </w:pPr>
      <w:r>
        <w:rPr>
          <w:bCs/>
          <w:b/>
        </w:rPr>
        <w:t xml:space="preserve">Emission Factor Specificity:</w:t>
      </w:r>
      <w:r>
        <w:t xml:space="preserve"> </w:t>
      </w:r>
      <w:r>
        <w:t xml:space="preserve">Generic industry-average emission factors were used. Product-specific, supplier-specific, and geographically precise emission factors would enhance accuracy.</w:t>
      </w:r>
    </w:p>
    <w:p>
      <w:pPr>
        <w:numPr>
          <w:ilvl w:val="0"/>
          <w:numId w:val="1013"/>
        </w:numPr>
        <w:pStyle w:val="Compact"/>
      </w:pPr>
      <w:r>
        <w:rPr>
          <w:bCs/>
          <w:b/>
        </w:rPr>
        <w:t xml:space="preserve">Scope 3 Coverage:</w:t>
      </w:r>
      <w:r>
        <w:t xml:space="preserve"> </w:t>
      </w:r>
      <w:r>
        <w:t xml:space="preserve">While a 95% Scope 3 coverage target was set, the illustrative nature of the BOM and other inputs means that some minor Scope 3 categories might not be explicitly covered in this high-level demonstration.</w:t>
      </w:r>
    </w:p>
    <w:p>
      <w:pPr>
        <w:numPr>
          <w:ilvl w:val="0"/>
          <w:numId w:val="1013"/>
        </w:numPr>
        <w:pStyle w:val="Compact"/>
      </w:pPr>
      <w:r>
        <w:rPr>
          <w:bCs/>
          <w:b/>
        </w:rPr>
        <w:t xml:space="preserve">LSR Standard:</w:t>
      </w:r>
      <w:r>
        <w:t xml:space="preserve"> </w:t>
      </w:r>
      <w:r>
        <w:t xml:space="preserve">As the LSR Standard takes full effect in 2027, its detailed application for a complex electronic product\'s supply chain would require granular data on bio-based materials and land-use changes, which were beyond the scope of this illustrative analysis.</w:t>
      </w:r>
    </w:p>
    <w:bookmarkEnd w:id="46"/>
    <w:bookmarkStart w:id="48" w:name="recommendations-for-emission-reduction"/>
    <w:p>
      <w:pPr>
        <w:pStyle w:val="Heading3"/>
      </w:pPr>
      <w:r>
        <w:t xml:space="preserve">5.3. Recommendations for Emission Reduction</w:t>
      </w:r>
    </w:p>
    <w:p>
      <w:pPr>
        <w:pStyle w:val="FirstParagraph"/>
      </w:pPr>
      <w:r>
        <w:t xml:space="preserve">Based on the identified hotspots, prjjmndmmk can focus on the following strategies:</w:t>
      </w:r>
    </w:p>
    <w:p>
      <w:pPr>
        <w:numPr>
          <w:ilvl w:val="0"/>
          <w:numId w:val="1014"/>
        </w:numPr>
        <w:pStyle w:val="Compact"/>
      </w:pPr>
      <w:r>
        <w:rPr>
          <w:bCs/>
          <w:b/>
        </w:rPr>
        <w:t xml:space="preserve">Optimize Use Phase Efficiency:</w:t>
      </w:r>
      <w:r>
        <w:t xml:space="preserve"> </w:t>
      </w:r>
      <w:r>
        <w:t xml:space="preserve">Invest in R&amp;D to reduce the energy consumption of "rwkmusnfwl" during its operational life. Explore low-power modes, smart energy management features, and design for longer product lifespans to amortize manufacturing impacts over more use cycles.</w:t>
      </w:r>
    </w:p>
    <w:p>
      <w:pPr>
        <w:numPr>
          <w:ilvl w:val="0"/>
          <w:numId w:val="1014"/>
        </w:numPr>
        <w:pStyle w:val="Compact"/>
      </w:pPr>
      <w:r>
        <w:rPr>
          <w:bCs/>
          <w:b/>
        </w:rPr>
        <w:t xml:space="preserve">Sustainable Material Sourcing:</w:t>
      </w:r>
      <w:r>
        <w:t xml:space="preserve"> </w:t>
      </w:r>
      <w:r>
        <w:t xml:space="preserve">Collaborate with suppliers to procure lower-carbon materials and components. Prioritize materials with higher recycled content and ensure suppliers use renewable energy in their production processes.</w:t>
      </w:r>
    </w:p>
    <w:p>
      <w:pPr>
        <w:numPr>
          <w:ilvl w:val="0"/>
          <w:numId w:val="1014"/>
        </w:numPr>
        <w:pStyle w:val="Compact"/>
      </w:pPr>
      <w:r>
        <w:rPr>
          <w:bCs/>
          <w:b/>
        </w:rPr>
        <w:t xml:space="preserve">Increase Renewable Energy in Manufacturing:</w:t>
      </w:r>
      <w:r>
        <w:t xml:space="preserve"> </w:t>
      </w:r>
      <w:r>
        <w:t xml:space="preserve">Work with manufacturing partners in China to increase the share of renewable electricity used in their facilities, going beyond the current illustrative 50% target.</w:t>
      </w:r>
    </w:p>
    <w:p>
      <w:pPr>
        <w:numPr>
          <w:ilvl w:val="0"/>
          <w:numId w:val="1014"/>
        </w:numPr>
        <w:pStyle w:val="Compact"/>
      </w:pPr>
      <w:r>
        <w:rPr>
          <w:bCs/>
          <w:b/>
        </w:rPr>
        <w:t xml:space="preserve">Enhance Circularity:</w:t>
      </w:r>
      <w:r>
        <w:t xml:space="preserve"> </w:t>
      </w:r>
      <w:r>
        <w:t xml:space="preserve">Strengthen existing take-back programs (mqzpeupviw) to maximize refurbishment and closed-loop recycling rates. Explore innovative design for disassembly and modularity to facilitate repair and component reuse.</w:t>
      </w:r>
    </w:p>
    <w:p>
      <w:pPr>
        <w:numPr>
          <w:ilvl w:val="0"/>
          <w:numId w:val="1014"/>
        </w:numPr>
        <w:pStyle w:val="Compact"/>
      </w:pPr>
      <w:r>
        <w:rPr>
          <w:bCs/>
          <w:b/>
        </w:rPr>
        <w:t xml:space="preserve">Logistics Optimization:</w:t>
      </w:r>
      <w:r>
        <w:t xml:space="preserve"> </w:t>
      </w:r>
      <w:r>
        <w:t xml:space="preserve">Continuously optimize transportation routes and modes to reduce fuel consumption and emissions, especially for long-haul shipping from China to Europe.</w:t>
      </w:r>
    </w:p>
    <w:p>
      <w:r>
        <w:pict>
          <v:rect style="width:0;height:1.5pt" o:hralign="center" o:hrstd="t" o:hr="t"/>
        </w:pict>
      </w:r>
    </w:p>
    <w:p>
      <w:pPr>
        <w:pStyle w:val="FirstParagraph"/>
      </w:pPr>
      <w:r>
        <w:t xml:space="preserve">Confidential - Internal Use Only | Page</w:t>
      </w:r>
      <w:r>
        <w:t xml:space="preserve"> </w:t>
      </w:r>
      <w:bookmarkStart w:id="47" w:name="pageNumber"/>
      <w:bookmarkEnd w:id="47"/>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rwkmusnfwl - prjjmndmmk</dc:title>
  <dc:creator/>
  <dc:description>High-detail Product Carbon Footprint (PCF) analysis for rwkmusnfwl, prepared by Senior Sustainability Consultant kzkjnkimpw for prjjmndmmk, adhering to GHG Protocol standards and 2026 LSR updates.</dc:description>
  <dc:language>en</dc:language>
  <cp:keywords/>
  <dcterms:created xsi:type="dcterms:W3CDTF">2026-07-15T09:24:56Z</dcterms:created>
  <dcterms:modified xsi:type="dcterms:W3CDTF">2026-07-15T09:24:56Z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