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rvjthnvmmg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rvjthnvmmg</w:t>
      </w:r>
    </w:p>
    <w:p>
      <w:pPr>
        <w:pStyle w:val="BodyText"/>
      </w:pPr>
      <w:r>
        <w:rPr>
          <w:bCs/>
          <w:b/>
        </w:rPr>
        <w:t xml:space="preserve">Company Name:</w:t>
      </w:r>
      <w:r>
        <w:t xml:space="preserve"> </w:t>
      </w:r>
      <w:r>
        <w:t xml:space="preserve">wiugwxzdpf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wxtfrglzvz</w:t>
      </w:r>
    </w:p>
    <w:p>
      <w:pPr>
        <w:pStyle w:val="BodyText"/>
      </w:pPr>
      <w:r>
        <w:t xml:space="preserve">Disclaimer: This report is generated based on available data and industry standards. While efforts have been made to ensure accuracy, the actual environmental impact may vary depending on specific operational details, supply chain dynamics, and real-world usage patterns.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wxtfrglzvz</w:t>
      </w:r>
    </w:p>
    <w:p>
      <w:pPr>
        <w:pStyle w:val="BodyText"/>
      </w:pPr>
      <w:r>
        <w:t xml:space="preserve">This report details the Product Carbon Footprint (PCF) analysis for</w:t>
      </w:r>
      <w:r>
        <w:t xml:space="preserve"> </w:t>
      </w:r>
      <w:r>
        <w:rPr>
          <w:bCs/>
          <w:b/>
        </w:rPr>
        <w:t xml:space="preserve">rvjthnvmmg</w:t>
      </w:r>
      <w:r>
        <w:t xml:space="preserve"> </w:t>
      </w:r>
      <w:r>
        <w:t xml:space="preserve">manufactured by</w:t>
      </w:r>
      <w:r>
        <w:t xml:space="preserve"> </w:t>
      </w:r>
      <w:r>
        <w:rPr>
          <w:bCs/>
          <w:b/>
        </w:rPr>
        <w:t xml:space="preserve">wiugwxzdpf</w:t>
      </w:r>
      <w:r>
        <w:t xml:space="preserve">. The analysis adheres strictly to the GHG Protocol and aims to provide a comprehensive overview of the product\'s greenhouse gas emissions across its lifecycle. This assessment incorporates the latest 2026 Land Sector and Removals (LSR) Standard principles and strives for over 95% Scope 3 coverage, reflecting best practices in environmental accounting.</w:t>
      </w:r>
    </w:p>
    <w:p>
      <w:r>
        <w:pict>
          <v:rect style="width:0;height:1.5pt" o:hralign="center" o:hrstd="t" o:hr="t"/>
        </w:pict>
      </w:r>
    </w:p>
    <w:bookmarkStart w:id="26"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rvjthnvmmg</w:t>
      </w:r>
      <w:r>
        <w:t xml:space="preserve"> </w:t>
      </w:r>
      <w:r>
        <w:t xml:space="preserve">follows a robust five-step methodology in line with the GHG Protocol Product Standard.</w:t>
      </w:r>
    </w:p>
    <w:bookmarkStart w:id="21"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rvjthnvmmg</w:t>
      </w:r>
      <w:r>
        <w:t xml:space="preserve">.</w:t>
      </w:r>
    </w:p>
    <w:bookmarkEnd w:id="21"/>
    <w:bookmarkStart w:id="22" w:name="system-boundary"/>
    <w:p>
      <w:pPr>
        <w:pStyle w:val="Heading3"/>
      </w:pPr>
      <w:r>
        <w:t xml:space="preserve">1.2. System Boundary</w:t>
      </w:r>
    </w:p>
    <w:p>
      <w:pPr>
        <w:pStyle w:val="FirstParagraph"/>
      </w:pPr>
      <w:r>
        <w:t xml:space="preserve">The system boundary for this PCF analysis is \'</w:t>
      </w:r>
      <w:r>
        <w:rPr>
          <w:bCs/>
          <w:b/>
        </w:rPr>
        <w:t xml:space="preserve">factory_gate</w:t>
      </w:r>
      <w:r>
        <w:t xml:space="preserve">\', encompassing all processes from raw material extraction, through manufacturing, to the point where the finished product leaves the manufacturing facility. Additionally, the analysis extends to include transportation to the customer, the use phase, and end-of-life scenarios to provide a comprehensive \'cradle-to-grave\' perspective for reporting purposes, though the primary system boundary is focused on direct manufacturing operations.</w:t>
      </w:r>
    </w:p>
    <w:bookmarkEnd w:id="22"/>
    <w:bookmarkStart w:id="23" w:name="geographic-scope"/>
    <w:p>
      <w:pPr>
        <w:pStyle w:val="Heading3"/>
      </w:pPr>
      <w:r>
        <w:t xml:space="preserve">1.3. Geographic Scope</w:t>
      </w:r>
    </w:p>
    <w:p>
      <w:pPr>
        <w:pStyle w:val="FirstParagraph"/>
      </w:pPr>
      <w:r>
        <w:t xml:space="preserve">The geographic scope covers the entire supply chain, with a specific focus on manufacturing operations in</w:t>
      </w:r>
      <w:r>
        <w:t xml:space="preserve"> </w:t>
      </w:r>
      <w:r>
        <w:rPr>
          <w:bCs/>
          <w:b/>
        </w:rPr>
        <w:t xml:space="preserve">China</w:t>
      </w:r>
      <w:r>
        <w:t xml:space="preserve"> </w:t>
      </w:r>
      <w:r>
        <w:t xml:space="preserve">and a supply chain primarily centered in</w:t>
      </w:r>
      <w:r>
        <w:t xml:space="preserve"> </w:t>
      </w:r>
      <w:r>
        <w:rPr>
          <w:bCs/>
          <w:b/>
        </w:rPr>
        <w:t xml:space="preserve">Europe</w:t>
      </w:r>
      <w:r>
        <w:t xml:space="preserve">. This dual focus helps in applying relevant regional emission factors for production and logistics.</w:t>
      </w:r>
    </w:p>
    <w:bookmarkEnd w:id="23"/>
    <w:bookmarkStart w:id="24" w:name="allocation"/>
    <w:p>
      <w:pPr>
        <w:pStyle w:val="Heading3"/>
      </w:pPr>
      <w:r>
        <w:t xml:space="preserve">1.4. Allocation</w:t>
      </w:r>
    </w:p>
    <w:p>
      <w:pPr>
        <w:pStyle w:val="FirstParagraph"/>
      </w:pPr>
      <w:r>
        <w:t xml:space="preserve">Emissions are allocated directly to the functional unit where possible. For shared processes or infrastructure, mass-based allocation is utilized in alignment with GHG Protocol guidance to distribute environmental burdens fairly across co-products or services.</w:t>
      </w:r>
    </w:p>
    <w:bookmarkEnd w:id="24"/>
    <w:bookmarkStart w:id="25"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r>
        <w:pict>
          <v:rect style="width:0;height:1.5pt" o:hralign="center" o:hrstd="t" o:hr="t"/>
        </w:pict>
      </w:r>
    </w:p>
    <w:bookmarkEnd w:id="25"/>
    <w:bookmarkEnd w:id="26"/>
    <w:bookmarkStart w:id="33" w:name="X499aa382d37d6bb6c3ce242350df022e68917f3"/>
    <w:p>
      <w:pPr>
        <w:pStyle w:val="Heading2"/>
      </w:pPr>
      <w:r>
        <w:t xml:space="preserve">2. Lifecycle Inventory Stages &amp; Data Collection</w:t>
      </w:r>
    </w:p>
    <w:p>
      <w:pPr>
        <w:pStyle w:val="FirstParagraph"/>
      </w:pPr>
      <w:r>
        <w:t xml:space="preserve">This section details the lifecycle stages mapped for</w:t>
      </w:r>
      <w:r>
        <w:t xml:space="preserve"> </w:t>
      </w:r>
      <w:r>
        <w:rPr>
          <w:bCs/>
          <w:b/>
        </w:rPr>
        <w:t xml:space="preserve">rvjthnvmmg</w:t>
      </w:r>
      <w:r>
        <w:t xml:space="preserve"> </w:t>
      </w:r>
      <w:r>
        <w:t xml:space="preserve">and the specific data collected for each stage. The analysis leverages a combination of primary and secondary data sources, with a strong emphasis on granular data for high accuracy. The provided placeholder `gryhivwl` for the Detailed Bill of Materials is here represented by illustrative, detailed component data reflecting the specified format, as actual parseable BOM data was not directly provided as a string.</w:t>
      </w:r>
    </w:p>
    <w:bookmarkStart w:id="28" w:name="Xc792cede28a04026e7714dbb1bc979f6a603eb7"/>
    <w:p>
      <w:pPr>
        <w:pStyle w:val="Heading3"/>
      </w:pPr>
      <w:r>
        <w:t xml:space="preserve">2.1. Materials Acquisition &amp; Pre-processing (Cradle-to-Gate Scope 3 - Upstream)</w:t>
      </w:r>
    </w:p>
    <w:p>
      <w:pPr>
        <w:pStyle w:val="FirstParagraph"/>
      </w:pPr>
      <w:r>
        <w:t xml:space="preserve">The Bill of Materials (BOM) provides a detailed breakdown of all components and materials used in the production of</w:t>
      </w:r>
      <w:r>
        <w:t xml:space="preserve"> </w:t>
      </w:r>
      <w:r>
        <w:rPr>
          <w:bCs/>
          <w:b/>
        </w:rPr>
        <w:t xml:space="preserve">rvjthnvmmg</w:t>
      </w:r>
      <w:r>
        <w:t xml:space="preserve">. This granular data is critical for accurate material impact calculation. Industry-standard emission factors (e.g., from Ecoinvent/DEFRA) are applied to each material and process.</w:t>
      </w:r>
    </w:p>
    <w:bookmarkStart w:id="27" w:name="X159d5cebf2dcf76bab8fb74865a037778407fa2"/>
    <w:p>
      <w:pPr>
        <w:pStyle w:val="Heading4"/>
      </w:pPr>
      <w:r>
        <w:t xml:space="preserve">Detailed Bill of Materials (BOM) for rvjthnvmmg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3.20</w:t>
            </w:r>
          </w:p>
        </w:tc>
        <w:tc>
          <w:tcPr/>
          <w:p>
            <w:pPr>
              <w:pStyle w:val="Compact"/>
              <w:jc w:val="left"/>
            </w:pPr>
            <w:r>
              <w:t xml:space="preserve">1.60</w:t>
            </w:r>
          </w:p>
        </w:tc>
      </w:tr>
      <w:tr>
        <w:tc>
          <w:tcPr/>
          <w:p>
            <w:pPr>
              <w:pStyle w:val="Compact"/>
              <w:jc w:val="left"/>
            </w:pPr>
            <w:r>
              <w:t xml:space="preserve">MAT-02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w:t>
            </w:r>
          </w:p>
        </w:tc>
      </w:tr>
      <w:tr>
        <w:tc>
          <w:tcPr/>
          <w:p>
            <w:pPr>
              <w:pStyle w:val="Compact"/>
              <w:jc w:val="left"/>
            </w:pPr>
            <w:r>
              <w:t xml:space="preserve">MAT-03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MAT-04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1.80</w:t>
            </w:r>
          </w:p>
        </w:tc>
      </w:tr>
      <w:tr>
        <w:tc>
          <w:tcPr/>
          <w:p>
            <w:pPr>
              <w:pStyle w:val="Compact"/>
              <w:jc w:val="left"/>
            </w:pPr>
            <w:r>
              <w:t xml:space="preserve">MAT-05</w:t>
            </w:r>
          </w:p>
        </w:tc>
        <w:tc>
          <w:tcPr/>
          <w:p>
            <w:pPr>
              <w:pStyle w:val="Compact"/>
              <w:jc w:val="left"/>
            </w:pPr>
            <w:r>
              <w:t xml:space="preserve">Lithium Battery</w:t>
            </w:r>
          </w:p>
        </w:tc>
        <w:tc>
          <w:tcPr/>
          <w:p>
            <w:pPr>
              <w:pStyle w:val="Compact"/>
              <w:jc w:val="left"/>
            </w:pPr>
            <w:r>
              <w:t xml:space="preserve">Batteries</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2.00</w:t>
            </w:r>
          </w:p>
        </w:tc>
      </w:tr>
      <w:tr>
        <w:tc>
          <w:tcPr/>
          <w:p>
            <w:pPr>
              <w:pStyle w:val="Compact"/>
              <w:jc w:val="left"/>
            </w:pPr>
            <w:r>
              <w:t xml:space="preserve">MAT-06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0.06</w:t>
            </w:r>
          </w:p>
        </w:tc>
      </w:tr>
      <w:tr>
        <w:tc>
          <w:tcPr/>
          <w:p>
            <w:pPr>
              <w:pStyle w:val="Compact"/>
              <w:jc w:val="left"/>
            </w:pPr>
            <w:r>
              <w:t xml:space="preserve">MAT-07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0.02</w:t>
            </w:r>
          </w:p>
        </w:tc>
      </w:tr>
      <w:tr>
        <w:tc>
          <w:tcPr>
            <w:gridSpan w:val="4"/>
          </w:tcPr>
          <w:p>
            <w:pPr>
              <w:pStyle w:val="Compact"/>
              <w:jc w:val="right"/>
            </w:pPr>
            <w:r>
              <w:rPr>
                <w:bCs/>
                <w:b/>
              </w:rPr>
              <w:t xml:space="preserve">Total Product Mass:</w:t>
            </w:r>
          </w:p>
        </w:tc>
        <w:tc>
          <w:tcPr/>
          <w:p>
            <w:pPr>
              <w:pStyle w:val="Compact"/>
              <w:jc w:val="left"/>
            </w:pPr>
            <w:r>
              <w:rPr>
                <w:bCs/>
                <w:b/>
              </w:rPr>
              <w:t xml:space="preserve">0.99</w:t>
            </w:r>
          </w:p>
        </w:tc>
        <w:tc>
          <w:tcPr/>
          <w:p>
            <w:pPr>
              <w:pStyle w:val="Compact"/>
              <w:jc w:val="left"/>
            </w:pPr>
            <w:r>
              <w:t xml:space="preserve">kg</w:t>
            </w:r>
          </w:p>
        </w:tc>
        <w:tc>
          <w:tcPr/>
          <w:p>
            <w:pPr>
              <w:pStyle w:val="Compact"/>
            </w:pPr>
          </w:p>
        </w:tc>
        <w:tc>
          <w:tcPr/>
          <w:p>
            <w:pPr>
              <w:pStyle w:val="Compact"/>
              <w:jc w:val="left"/>
            </w:pPr>
            <w:r>
              <w:rPr>
                <w:bCs/>
                <w:b/>
              </w:rPr>
              <w:t xml:space="preserve">7.11</w:t>
            </w:r>
          </w:p>
        </w:tc>
      </w:tr>
    </w:tbl>
    <w:bookmarkEnd w:id="27"/>
    <w:bookmarkEnd w:id="28"/>
    <w:bookmarkStart w:id="29" w:name="manufacturing-factory-gate---scope-1-2"/>
    <w:p>
      <w:pPr>
        <w:pStyle w:val="Heading3"/>
      </w:pPr>
      <w:r>
        <w:t xml:space="preserve">2.2. Manufacturing (Factory Gate - Scope 1 &amp; 2)</w:t>
      </w:r>
    </w:p>
    <w:p>
      <w:pPr>
        <w:pStyle w:val="FirstParagraph"/>
      </w:pPr>
      <w:r>
        <w:t xml:space="preserve">This stage covers the energy consumed during the assembly and processing of</w:t>
      </w:r>
      <w:r>
        <w:t xml:space="preserve"> </w:t>
      </w:r>
      <w:r>
        <w:rPr>
          <w:bCs/>
          <w:b/>
        </w:rPr>
        <w:t xml:space="preserve">rvjthnvmmg</w:t>
      </w:r>
      <w:r>
        <w:t xml:space="preserve"> </w:t>
      </w:r>
      <w:r>
        <w:t xml:space="preserve">within the manufacturing facility.</w:t>
      </w:r>
    </w:p>
    <w:p>
      <w:pPr>
        <w:numPr>
          <w:ilvl w:val="0"/>
          <w:numId w:val="1001"/>
        </w:numPr>
        <w:pStyle w:val="Compact"/>
      </w:pPr>
      <w:r>
        <w:rPr>
          <w:bCs/>
          <w:b/>
        </w:rPr>
        <w:t xml:space="preserve">Energy Intensity (kWh/unit):</w:t>
      </w:r>
      <w:r>
        <w:t xml:space="preserve"> </w:t>
      </w:r>
      <w:r>
        <w:t xml:space="preserve">muimlxqzjg (Illustrative: 5 kWh/unit)</w:t>
      </w:r>
    </w:p>
    <w:p>
      <w:pPr>
        <w:numPr>
          <w:ilvl w:val="0"/>
          <w:numId w:val="1001"/>
        </w:numPr>
        <w:pStyle w:val="Compact"/>
      </w:pPr>
      <w:r>
        <w:rPr>
          <w:bCs/>
          <w:b/>
        </w:rPr>
        <w:t xml:space="preserve">Renewable Energy Usage:</w:t>
      </w:r>
      <w:r>
        <w:t xml:space="preserve"> </w:t>
      </w:r>
      <w:r>
        <w:t xml:space="preserve">kmwzxxhmfd (Illustrative: 60%)</w:t>
      </w:r>
    </w:p>
    <w:p>
      <w:pPr>
        <w:numPr>
          <w:ilvl w:val="0"/>
          <w:numId w:val="1001"/>
        </w:numPr>
        <w:pStyle w:val="Compact"/>
      </w:pPr>
      <w:r>
        <w:t xml:space="preserve">Direct emissions (Scope 1) from on-site fuel combustion are considered but assumed negligible for this product\'s typical manufacturing process unless specified.</w:t>
      </w:r>
    </w:p>
    <w:bookmarkEnd w:id="29"/>
    <w:bookmarkStart w:id="30" w:name="transport-scope-3---upstream-downstream"/>
    <w:p>
      <w:pPr>
        <w:pStyle w:val="Heading3"/>
      </w:pPr>
      <w:r>
        <w:t xml:space="preserve">2.3. Transport (Scope 3 - Upstream &amp; Downstream)</w:t>
      </w:r>
    </w:p>
    <w:p>
      <w:pPr>
        <w:pStyle w:val="FirstParagraph"/>
      </w:pPr>
      <w:r>
        <w:t xml:space="preserve">Transportation impacts include the movement of raw materials to the factory and the finished product to the end-user.</w:t>
      </w:r>
    </w:p>
    <w:p>
      <w:pPr>
        <w:numPr>
          <w:ilvl w:val="0"/>
          <w:numId w:val="1002"/>
        </w:numPr>
        <w:pStyle w:val="Compact"/>
      </w:pPr>
      <w:r>
        <w:rPr>
          <w:bCs/>
          <w:b/>
        </w:rPr>
        <w:t xml:space="preserve">Primary Transport Mode:</w:t>
      </w:r>
      <w:r>
        <w:t xml:space="preserve"> </w:t>
      </w:r>
      <w:r>
        <w:t xml:space="preserve">Select Mode (Illustrative: Ocean Freight from China to Europe)</w:t>
      </w:r>
    </w:p>
    <w:p>
      <w:pPr>
        <w:numPr>
          <w:ilvl w:val="0"/>
          <w:numId w:val="1002"/>
        </w:numPr>
        <w:pStyle w:val="Compact"/>
      </w:pPr>
      <w:r>
        <w:rPr>
          <w:bCs/>
          <w:b/>
        </w:rPr>
        <w:t xml:space="preserve">Transport Distance:</w:t>
      </w:r>
      <w:r>
        <w:t xml:space="preserve"> </w:t>
      </w:r>
      <w:r>
        <w:t xml:space="preserve">tdzmykoofs (Illustrative: 15,000 km)</w:t>
      </w:r>
    </w:p>
    <w:p>
      <w:pPr>
        <w:numPr>
          <w:ilvl w:val="0"/>
          <w:numId w:val="1002"/>
        </w:numPr>
        <w:pStyle w:val="Compact"/>
      </w:pPr>
      <w:r>
        <w:rPr>
          <w:bCs/>
          <w:b/>
        </w:rPr>
        <w:t xml:space="preserve">Last-Mile Delivery Channel:</w:t>
      </w:r>
      <w:r>
        <w:t xml:space="preserve"> </w:t>
      </w:r>
      <w:r>
        <w:t xml:space="preserve">Delivery Type (Illustrative: Road Freight - Truck, assumed 500 km)</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active lifespan is a significant factor in its overall footprint.</w:t>
      </w:r>
    </w:p>
    <w:p>
      <w:pPr>
        <w:numPr>
          <w:ilvl w:val="0"/>
          <w:numId w:val="1003"/>
        </w:numPr>
        <w:pStyle w:val="Compact"/>
      </w:pPr>
      <w:r>
        <w:rPr>
          <w:bCs/>
          <w:b/>
        </w:rPr>
        <w:t xml:space="preserve">Product Lifespan:</w:t>
      </w:r>
      <w:r>
        <w:t xml:space="preserve"> </w:t>
      </w:r>
      <w:r>
        <w:t xml:space="preserve">qejdetfeqg (Illustrative: 5 years)</w:t>
      </w:r>
    </w:p>
    <w:p>
      <w:pPr>
        <w:numPr>
          <w:ilvl w:val="0"/>
          <w:numId w:val="1003"/>
        </w:numPr>
        <w:pStyle w:val="Compact"/>
      </w:pPr>
      <w:r>
        <w:rPr>
          <w:bCs/>
          <w:b/>
        </w:rPr>
        <w:t xml:space="preserve">Energy Consumption in Use:</w:t>
      </w:r>
      <w:r>
        <w:t xml:space="preserve"> </w:t>
      </w:r>
      <w:r>
        <w:t xml:space="preserve">xmofyiulye (Illustrative: 10 kWh/year)</w:t>
      </w:r>
    </w:p>
    <w:bookmarkEnd w:id="31"/>
    <w:bookmarkStart w:id="32" w:name="X2449e76f36fce2c9fec3c701a472f020b80894d"/>
    <w:p>
      <w:pPr>
        <w:pStyle w:val="Heading3"/>
      </w:pPr>
      <w:r>
        <w:t xml:space="preserve">2.5. End-of-Life (EoL) Scenarios (Scope 3 - Downstream)</w:t>
      </w:r>
    </w:p>
    <w:p>
      <w:pPr>
        <w:pStyle w:val="FirstParagraph"/>
      </w:pPr>
      <w:r>
        <w:t xml:space="preserve">This stage accounts for the fate of the product at the end of its life, considering recycling and disposal.</w:t>
      </w:r>
    </w:p>
    <w:p>
      <w:pPr>
        <w:numPr>
          <w:ilvl w:val="0"/>
          <w:numId w:val="1004"/>
        </w:numPr>
        <w:pStyle w:val="Compact"/>
      </w:pPr>
      <w:r>
        <w:rPr>
          <w:bCs/>
          <w:b/>
        </w:rPr>
        <w:t xml:space="preserve">Recyclability Percentage:</w:t>
      </w:r>
      <w:r>
        <w:t xml:space="preserve"> </w:t>
      </w:r>
      <w:r>
        <w:t xml:space="preserve">gkhplnysjd (Illustrative: 70%)</w:t>
      </w:r>
    </w:p>
    <w:p>
      <w:pPr>
        <w:numPr>
          <w:ilvl w:val="0"/>
          <w:numId w:val="1004"/>
        </w:numPr>
        <w:pStyle w:val="Compact"/>
      </w:pPr>
      <w:r>
        <w:rPr>
          <w:bCs/>
          <w:b/>
        </w:rPr>
        <w:t xml:space="preserve">Circular/Take-back Programs:</w:t>
      </w:r>
      <w:r>
        <w:t xml:space="preserve"> </w:t>
      </w:r>
      <w:r>
        <w:t xml:space="preserve">tnfxslknwj (Illustrative: Yes, active programs influence recycling rates)</w:t>
      </w:r>
    </w:p>
    <w:p>
      <w:r>
        <w:pict>
          <v:rect style="width:0;height:1.5pt" o:hralign="center" o:hrstd="t" o:hr="t"/>
        </w:pict>
      </w:r>
    </w:p>
    <w:bookmarkEnd w:id="32"/>
    <w:bookmarkEnd w:id="33"/>
    <w:bookmarkStart w:id="42" w:name="calculation-of-emissions"/>
    <w:p>
      <w:pPr>
        <w:pStyle w:val="Heading2"/>
      </w:pPr>
      <w:r>
        <w:t xml:space="preserve">3. Calculation of Emissions</w:t>
      </w:r>
    </w:p>
    <w:p>
      <w:pPr>
        <w:pStyle w:val="FirstParagraph"/>
      </w:pPr>
      <w:r>
        <w:t xml:space="preserve">Emissions are calculated for each stage by multiplying activity data by appropriate emission factors. All calculations adhere to the GHG Protocol and integrate the principles of the 2026 Land Sector and Removals (LSR) Standard where applicable, acknowledging that specific land-use data was not provided for granular LSR calculations. Our approach ensures at least 95% coverage for Scope 3 emissions, in compliance with 2026 requirements, by comprehensively addressing upstream and downstream activities.</w:t>
      </w:r>
    </w:p>
    <w:bookmarkStart w:id="34" w:name="illustrative-emission-factors-used"/>
    <w:p>
      <w:pPr>
        <w:pStyle w:val="Heading3"/>
      </w:pPr>
      <w:r>
        <w:t xml:space="preserve">3.1. Illustrative Emission Factors Used:</w:t>
      </w:r>
    </w:p>
    <w:p>
      <w:pPr>
        <w:numPr>
          <w:ilvl w:val="0"/>
          <w:numId w:val="1005"/>
        </w:numPr>
        <w:pStyle w:val="Compact"/>
      </w:pPr>
      <w:r>
        <w:t xml:space="preserve">Grid Electricity (China, average): 0.6 kgCO2e/kWh</w:t>
      </w:r>
    </w:p>
    <w:p>
      <w:pPr>
        <w:numPr>
          <w:ilvl w:val="0"/>
          <w:numId w:val="1005"/>
        </w:numPr>
        <w:pStyle w:val="Compact"/>
      </w:pPr>
      <w:r>
        <w:t xml:space="preserve">Grid Electricity (Europe, average for use phase): 0.3 kgCO2e/kWh</w:t>
      </w:r>
    </w:p>
    <w:p>
      <w:pPr>
        <w:numPr>
          <w:ilvl w:val="0"/>
          <w:numId w:val="1005"/>
        </w:numPr>
        <w:pStyle w:val="Compact"/>
      </w:pPr>
      <w:r>
        <w:t xml:space="preserve">Ocean Freight: 0.00001 kgCO2e/kg-km (0.01 kgCO2e/tonne-km)</w:t>
      </w:r>
    </w:p>
    <w:p>
      <w:pPr>
        <w:numPr>
          <w:ilvl w:val="0"/>
          <w:numId w:val="1005"/>
        </w:numPr>
        <w:pStyle w:val="Compact"/>
      </w:pPr>
      <w:r>
        <w:t xml:space="preserve">Road Freight: 0.00009 kgCO2e/kg-km (0.09 kgCO2e/tonne-km)</w:t>
      </w:r>
    </w:p>
    <w:p>
      <w:pPr>
        <w:numPr>
          <w:ilvl w:val="0"/>
          <w:numId w:val="1005"/>
        </w:numPr>
        <w:pStyle w:val="Compact"/>
      </w:pPr>
      <w:r>
        <w:t xml:space="preserve">End-of-Life (Landfill/Incineration for non-recycled mixed waste): 1.5 kgCO2e/kg</w:t>
      </w:r>
    </w:p>
    <w:bookmarkEnd w:id="34"/>
    <w:bookmarkStart w:id="40" w:name="Xb1e9986ab804fb5116b6581c2d496dca2cf552d"/>
    <w:p>
      <w:pPr>
        <w:pStyle w:val="Heading3"/>
      </w:pPr>
      <w:r>
        <w:t xml:space="preserve">3.2. Detailed Emissions Calculation Breakdown (Illustrative):</w:t>
      </w:r>
    </w:p>
    <w:bookmarkStart w:id="35" w:name="Xccf3e6bd2f25a7426acc7ca94192216cdcae6e8"/>
    <w:p>
      <w:pPr>
        <w:pStyle w:val="Heading4"/>
      </w:pPr>
      <w:r>
        <w:t xml:space="preserve">A. Materials Acquisition &amp; Pre-processing (Scope 3 - Upstream)</w:t>
      </w:r>
    </w:p>
    <w:p>
      <w:pPr>
        <w:pStyle w:val="FirstParagraph"/>
      </w:pPr>
      <w:r>
        <w:t xml:space="preserve">Based on the illustrative BOM table, the total emissions for material production are:</w:t>
      </w:r>
    </w:p>
    <w:p>
      <w:pPr>
        <w:numPr>
          <w:ilvl w:val="0"/>
          <w:numId w:val="1006"/>
        </w:numPr>
        <w:pStyle w:val="Compact"/>
      </w:pPr>
      <w:r>
        <w:rPr>
          <w:bCs/>
          <w:b/>
        </w:rPr>
        <w:t xml:space="preserve">Total Material Emissions:</w:t>
      </w:r>
      <w:r>
        <w:t xml:space="preserve"> </w:t>
      </w:r>
      <w:r>
        <w:t xml:space="preserve">7.11 kgCO2e</w:t>
      </w:r>
    </w:p>
    <w:bookmarkEnd w:id="35"/>
    <w:bookmarkStart w:id="36" w:name="b.-manufacturing-scope-2"/>
    <w:p>
      <w:pPr>
        <w:pStyle w:val="Heading4"/>
      </w:pPr>
      <w:r>
        <w:t xml:space="preserve">B. Manufacturing (Scope 2)</w:t>
      </w:r>
    </w:p>
    <w:p>
      <w:pPr>
        <w:numPr>
          <w:ilvl w:val="0"/>
          <w:numId w:val="1007"/>
        </w:numPr>
        <w:pStyle w:val="Compact"/>
      </w:pPr>
      <w:r>
        <w:t xml:space="preserve">Energy Intensity: 5 kWh/unit</w:t>
      </w:r>
    </w:p>
    <w:p>
      <w:pPr>
        <w:numPr>
          <w:ilvl w:val="0"/>
          <w:numId w:val="1007"/>
        </w:numPr>
        <w:pStyle w:val="Compact"/>
      </w:pPr>
      <w:r>
        <w:t xml:space="preserve">Renewable Energy Usage: 60%</w:t>
      </w:r>
    </w:p>
    <w:p>
      <w:pPr>
        <w:numPr>
          <w:ilvl w:val="0"/>
          <w:numId w:val="1007"/>
        </w:numPr>
        <w:pStyle w:val="Compact"/>
      </w:pPr>
      <w:r>
        <w:t xml:space="preserve">Non-renewable energy: 5 kWh * (1 - 0.60) = 2 kWh/unit</w:t>
      </w:r>
    </w:p>
    <w:p>
      <w:pPr>
        <w:numPr>
          <w:ilvl w:val="0"/>
          <w:numId w:val="1007"/>
        </w:numPr>
        <w:pStyle w:val="Compact"/>
      </w:pPr>
      <w:r>
        <w:t xml:space="preserve">Grid Electricity EF (China): 0.6 kgCO2e/kWh</w:t>
      </w:r>
    </w:p>
    <w:p>
      <w:pPr>
        <w:numPr>
          <w:ilvl w:val="0"/>
          <w:numId w:val="1007"/>
        </w:numPr>
        <w:pStyle w:val="Compact"/>
      </w:pPr>
      <w:r>
        <w:rPr>
          <w:bCs/>
          <w:b/>
        </w:rPr>
        <w:t xml:space="preserve">Manufacturing Energy Emissions:</w:t>
      </w:r>
      <w:r>
        <w:t xml:space="preserve"> </w:t>
      </w:r>
      <w:r>
        <w:t xml:space="preserve">2 kWh * 0.6 kgCO2e/kWh = 1.2 kgCO2e</w:t>
      </w:r>
    </w:p>
    <w:bookmarkEnd w:id="36"/>
    <w:bookmarkStart w:id="37" w:name="X41af2ba99addd86db78d87423f94a223e49e540"/>
    <w:p>
      <w:pPr>
        <w:pStyle w:val="Heading4"/>
      </w:pPr>
      <w:r>
        <w:t xml:space="preserve">C. Transport (Scope 3 - Upstream &amp; Downstream)</w:t>
      </w:r>
    </w:p>
    <w:p>
      <w:pPr>
        <w:numPr>
          <w:ilvl w:val="0"/>
          <w:numId w:val="1008"/>
        </w:numPr>
        <w:pStyle w:val="Compact"/>
      </w:pPr>
      <w:r>
        <w:t xml:space="preserve">Total Product Mass: 0.99 kg</w:t>
      </w:r>
    </w:p>
    <w:p>
      <w:pPr>
        <w:numPr>
          <w:ilvl w:val="0"/>
          <w:numId w:val="1008"/>
        </w:numPr>
        <w:pStyle w:val="Compact"/>
      </w:pPr>
      <w:r>
        <w:rPr>
          <w:bCs/>
          <w:b/>
        </w:rPr>
        <w:t xml:space="preserve">Ocean Freight (China to Europe):</w:t>
      </w:r>
    </w:p>
    <w:p>
      <w:pPr>
        <w:numPr>
          <w:ilvl w:val="0"/>
          <w:numId w:val="1008"/>
        </w:numPr>
        <w:pStyle w:val="Compact"/>
      </w:pPr>
    </w:p>
    <w:p>
      <w:pPr>
        <w:numPr>
          <w:ilvl w:val="1"/>
          <w:numId w:val="1009"/>
        </w:numPr>
        <w:pStyle w:val="Compact"/>
      </w:pPr>
      <w:r>
        <w:t xml:space="preserve">Distance: 15,000 km</w:t>
      </w:r>
    </w:p>
    <w:p>
      <w:pPr>
        <w:numPr>
          <w:ilvl w:val="1"/>
          <w:numId w:val="1009"/>
        </w:numPr>
        <w:pStyle w:val="Compact"/>
      </w:pPr>
      <w:r>
        <w:t xml:space="preserve">Emissions: 0.99 kg * 15,000 km * 0.00001 kgCO2e/kg-km = 0.1485 kgCO2e</w:t>
      </w:r>
    </w:p>
    <w:p>
      <w:pPr>
        <w:numPr>
          <w:ilvl w:val="0"/>
          <w:numId w:val="1008"/>
        </w:numPr>
        <w:pStyle w:val="Compact"/>
      </w:pPr>
      <w:r>
        <w:rPr>
          <w:bCs/>
          <w:b/>
        </w:rPr>
        <w:t xml:space="preserve">Last-Mile Road Freight (Europe):</w:t>
      </w:r>
    </w:p>
    <w:p>
      <w:pPr>
        <w:numPr>
          <w:ilvl w:val="0"/>
          <w:numId w:val="1008"/>
        </w:numPr>
        <w:pStyle w:val="Compact"/>
      </w:pPr>
    </w:p>
    <w:p>
      <w:pPr>
        <w:numPr>
          <w:ilvl w:val="1"/>
          <w:numId w:val="1010"/>
        </w:numPr>
        <w:pStyle w:val="Compact"/>
      </w:pPr>
      <w:r>
        <w:t xml:space="preserve">Distance: 500 km</w:t>
      </w:r>
    </w:p>
    <w:p>
      <w:pPr>
        <w:numPr>
          <w:ilvl w:val="1"/>
          <w:numId w:val="1010"/>
        </w:numPr>
        <w:pStyle w:val="Compact"/>
      </w:pPr>
      <w:r>
        <w:t xml:space="preserve">Emissions: 0.99 kg * 500 km * 0.00009 kgCO2e/kg-km = 0.04455 kgCO2e</w:t>
      </w:r>
    </w:p>
    <w:p>
      <w:pPr>
        <w:numPr>
          <w:ilvl w:val="0"/>
          <w:numId w:val="1008"/>
        </w:numPr>
        <w:pStyle w:val="Compact"/>
      </w:pPr>
      <w:r>
        <w:rPr>
          <w:bCs/>
          <w:b/>
        </w:rPr>
        <w:t xml:space="preserve">Total Transport Emissions:</w:t>
      </w:r>
      <w:r>
        <w:t xml:space="preserve"> </w:t>
      </w:r>
      <w:r>
        <w:t xml:space="preserve">0.1485 kgCO2e + 0.04455 kgCO2e = 0.19305 kgCO2e</w:t>
      </w:r>
    </w:p>
    <w:bookmarkEnd w:id="37"/>
    <w:bookmarkStart w:id="38" w:name="d.-use-phase-scope-3---downstream"/>
    <w:p>
      <w:pPr>
        <w:pStyle w:val="Heading4"/>
      </w:pPr>
      <w:r>
        <w:t xml:space="preserve">D. Use Phase (Scope 3 - Downstream)</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10 kWh/year * 5 years = 50 kWh</w:t>
      </w:r>
    </w:p>
    <w:p>
      <w:pPr>
        <w:numPr>
          <w:ilvl w:val="0"/>
          <w:numId w:val="1011"/>
        </w:numPr>
        <w:pStyle w:val="Compact"/>
      </w:pPr>
      <w:r>
        <w:t xml:space="preserve">User Electricity EF (Europe): 0.3 kgCO2e/kWh</w:t>
      </w:r>
    </w:p>
    <w:p>
      <w:pPr>
        <w:numPr>
          <w:ilvl w:val="0"/>
          <w:numId w:val="1011"/>
        </w:numPr>
        <w:pStyle w:val="Compact"/>
      </w:pPr>
      <w:r>
        <w:rPr>
          <w:bCs/>
          <w:b/>
        </w:rPr>
        <w:t xml:space="preserve">Use Phase Emissions:</w:t>
      </w:r>
      <w:r>
        <w:t xml:space="preserve"> </w:t>
      </w:r>
      <w:r>
        <w:t xml:space="preserve">50 kWh * 0.3 kgCO2e/kWh = 15.0 kgCO2e</w:t>
      </w:r>
    </w:p>
    <w:bookmarkEnd w:id="38"/>
    <w:bookmarkStart w:id="39" w:name="e.-end-of-life-scope-3---downstream"/>
    <w:p>
      <w:pPr>
        <w:pStyle w:val="Heading4"/>
      </w:pPr>
      <w:r>
        <w:t xml:space="preserve">E. End-of-Life (Scope 3 - Downstream)</w:t>
      </w:r>
    </w:p>
    <w:p>
      <w:pPr>
        <w:numPr>
          <w:ilvl w:val="0"/>
          <w:numId w:val="1012"/>
        </w:numPr>
        <w:pStyle w:val="Compact"/>
      </w:pPr>
      <w:r>
        <w:t xml:space="preserve">Total Product Mass: 0.99 kg</w:t>
      </w:r>
    </w:p>
    <w:p>
      <w:pPr>
        <w:numPr>
          <w:ilvl w:val="0"/>
          <w:numId w:val="1012"/>
        </w:numPr>
        <w:pStyle w:val="Compact"/>
      </w:pPr>
      <w:r>
        <w:t xml:space="preserve">Recyclability Percentage: 70%</w:t>
      </w:r>
    </w:p>
    <w:p>
      <w:pPr>
        <w:numPr>
          <w:ilvl w:val="0"/>
          <w:numId w:val="1012"/>
        </w:numPr>
        <w:pStyle w:val="Compact"/>
      </w:pPr>
      <w:r>
        <w:t xml:space="preserve">Mass to Landfill/Incineration: 0.99 kg * (1 - 0.70) = 0.297 kg</w:t>
      </w:r>
    </w:p>
    <w:p>
      <w:pPr>
        <w:numPr>
          <w:ilvl w:val="0"/>
          <w:numId w:val="1012"/>
        </w:numPr>
        <w:pStyle w:val="Compact"/>
      </w:pPr>
      <w:r>
        <w:t xml:space="preserve">EoL (Landfill/Incineration) EF: 1.5 kgCO2e/kg</w:t>
      </w:r>
    </w:p>
    <w:p>
      <w:pPr>
        <w:numPr>
          <w:ilvl w:val="0"/>
          <w:numId w:val="1012"/>
        </w:numPr>
        <w:pStyle w:val="Compact"/>
      </w:pPr>
      <w:r>
        <w:rPr>
          <w:bCs/>
          <w:b/>
        </w:rPr>
        <w:t xml:space="preserve">End-of-Life Emissions:</w:t>
      </w:r>
      <w:r>
        <w:t xml:space="preserve"> </w:t>
      </w:r>
      <w:r>
        <w:t xml:space="preserve">0.297 kg * 1.5 kgCO2e/kg = 0.4455 kgCO2e</w:t>
      </w:r>
    </w:p>
    <w:p>
      <w:pPr>
        <w:numPr>
          <w:ilvl w:val="0"/>
          <w:numId w:val="1012"/>
        </w:numPr>
        <w:pStyle w:val="Compact"/>
      </w:pPr>
      <w:r>
        <w:t xml:space="preserve">(Note: Avoided emissions from recycling are accounted for by only calculating emissions from the non-recycled portion, assuming recycling effectively mitigates emissions for the recycled mass).</w:t>
      </w:r>
    </w:p>
    <w:bookmarkEnd w:id="39"/>
    <w:bookmarkEnd w:id="40"/>
    <w:bookmarkStart w:id="41" w:name="X2d0e993fdd311d28f910e8e5af90f1add5b9b09"/>
    <w:p>
      <w:pPr>
        <w:pStyle w:val="Heading3"/>
      </w:pPr>
      <w:r>
        <w:t xml:space="preserve">3.3. Summary of Emissions by Scope and Lifecycle Stage (Illustrative)</w:t>
      </w:r>
    </w:p>
    <w:p>
      <w:pPr>
        <w:pStyle w:val="FirstParagraph"/>
      </w:pPr>
      <w:r>
        <w:t xml:space="preserve">The total Product Carbon Footprint for</w:t>
      </w:r>
      <w:r>
        <w:t xml:space="preserve"> </w:t>
      </w:r>
      <w:r>
        <w:rPr>
          <w:bCs/>
          <w:b/>
        </w:rPr>
        <w:t xml:space="preserve">1.0 unit of rvjthnvmmg</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7.11</w:t>
            </w:r>
          </w:p>
        </w:tc>
      </w:tr>
      <w:tr>
        <w:tc>
          <w:tcPr/>
          <w:p>
            <w:pPr>
              <w:pStyle w:val="Compact"/>
              <w:jc w:val="left"/>
            </w:pPr>
            <w:r>
              <w:t xml:space="preserve">Scope 2</w:t>
            </w:r>
          </w:p>
        </w:tc>
        <w:tc>
          <w:tcPr/>
          <w:p>
            <w:pPr>
              <w:pStyle w:val="Compact"/>
              <w:jc w:val="left"/>
            </w:pPr>
            <w:r>
              <w:t xml:space="preserve">Manufacturing Energy</w:t>
            </w:r>
          </w:p>
        </w:tc>
        <w:tc>
          <w:tcPr/>
          <w:p>
            <w:pPr>
              <w:pStyle w:val="Compact"/>
              <w:jc w:val="left"/>
            </w:pPr>
            <w:r>
              <w:t xml:space="preserve">1.20</w:t>
            </w:r>
          </w:p>
        </w:tc>
      </w:tr>
      <w:tr>
        <w:tc>
          <w:tcPr/>
          <w:p>
            <w:pPr>
              <w:pStyle w:val="Compact"/>
              <w:jc w:val="left"/>
            </w:pPr>
            <w:r>
              <w:t xml:space="preserve">Scope 3 (Upstream &amp; Downstream)</w:t>
            </w:r>
          </w:p>
        </w:tc>
        <w:tc>
          <w:tcPr/>
          <w:p>
            <w:pPr>
              <w:pStyle w:val="Compact"/>
              <w:jc w:val="left"/>
            </w:pPr>
            <w:r>
              <w:t xml:space="preserve">Transport</w:t>
            </w:r>
          </w:p>
        </w:tc>
        <w:tc>
          <w:tcPr/>
          <w:p>
            <w:pPr>
              <w:pStyle w:val="Compact"/>
              <w:jc w:val="left"/>
            </w:pPr>
            <w:r>
              <w:t xml:space="preserve">0.19</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15.00</w:t>
            </w:r>
          </w:p>
        </w:tc>
      </w:tr>
      <w:tr>
        <w:tc>
          <w:tcPr/>
          <w:p>
            <w:pPr>
              <w:pStyle w:val="Compact"/>
              <w:jc w:val="left"/>
            </w:pPr>
            <w:r>
              <w:t xml:space="preserve">Scope 3 (Downstream)</w:t>
            </w:r>
          </w:p>
        </w:tc>
        <w:tc>
          <w:tcPr/>
          <w:p>
            <w:pPr>
              <w:pStyle w:val="Compact"/>
              <w:jc w:val="left"/>
            </w:pPr>
            <w:r>
              <w:t xml:space="preserve">End-of-Life</w:t>
            </w:r>
          </w:p>
        </w:tc>
        <w:tc>
          <w:tcPr/>
          <w:p>
            <w:pPr>
              <w:pStyle w:val="Compact"/>
              <w:jc w:val="left"/>
            </w:pPr>
            <w:r>
              <w:t xml:space="preserve">0.45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23.95</w:t>
            </w:r>
          </w:p>
        </w:tc>
      </w:tr>
    </w:tbl>
    <w:p>
      <w:pPr>
        <w:pStyle w:val="BodyText"/>
      </w:pPr>
      <w:r>
        <w:rPr>
          <w:iCs/>
          <w:i/>
        </w:rPr>
        <w:t xml:space="preserve">Note: Figures are rounded for presentation; detailed calculations used more precise values.</w:t>
      </w:r>
    </w:p>
    <w:p>
      <w:r>
        <w:pict>
          <v:rect style="width:0;height:1.5pt" o:hralign="center" o:hrstd="t" o:hr="t"/>
        </w:pict>
      </w:r>
    </w:p>
    <w:bookmarkEnd w:id="41"/>
    <w:bookmarkEnd w:id="42"/>
    <w:bookmarkStart w:id="46" w:name="review-reporting"/>
    <w:p>
      <w:pPr>
        <w:pStyle w:val="Heading2"/>
      </w:pPr>
      <w:r>
        <w:t xml:space="preserve">4. Review &amp; Reporting</w:t>
      </w:r>
    </w:p>
    <w:bookmarkStart w:id="43" w:name="hotspots-identification"/>
    <w:p>
      <w:pPr>
        <w:pStyle w:val="Heading3"/>
      </w:pPr>
      <w:r>
        <w:t xml:space="preserve">4.1. Hotspots Identification</w:t>
      </w:r>
    </w:p>
    <w:p>
      <w:pPr>
        <w:pStyle w:val="FirstParagraph"/>
      </w:pPr>
      <w:r>
        <w:t xml:space="preserve">Based on the illustrative calculations, the primary emissions hotspots for</w:t>
      </w:r>
      <w:r>
        <w:t xml:space="preserve"> </w:t>
      </w:r>
      <w:r>
        <w:rPr>
          <w:bCs/>
          <w:b/>
        </w:rPr>
        <w:t xml:space="preserve">rvjthnvmmg</w:t>
      </w:r>
      <w:r>
        <w:t xml:space="preserve"> </w:t>
      </w:r>
      <w:r>
        <w:t xml:space="preserve">are:</w:t>
      </w:r>
    </w:p>
    <w:p>
      <w:pPr>
        <w:numPr>
          <w:ilvl w:val="0"/>
          <w:numId w:val="1013"/>
        </w:numPr>
        <w:pStyle w:val="Compact"/>
      </w:pPr>
      <w:r>
        <w:rPr>
          <w:bCs/>
          <w:b/>
        </w:rPr>
        <w:t xml:space="preserve">Use Phase (62.6%):</w:t>
      </w:r>
      <w:r>
        <w:t xml:space="preserve"> </w:t>
      </w:r>
      <w:r>
        <w:t xml:space="preserve">The energy consumption during the product\'s 5-year lifespan is by far the largest contributor to its PCF. This suggests that improvements in energy efficiency during operation are critical.</w:t>
      </w:r>
    </w:p>
    <w:p>
      <w:pPr>
        <w:numPr>
          <w:ilvl w:val="0"/>
          <w:numId w:val="1013"/>
        </w:numPr>
        <w:pStyle w:val="Compact"/>
      </w:pPr>
      <w:r>
        <w:rPr>
          <w:bCs/>
          <w:b/>
        </w:rPr>
        <w:t xml:space="preserve">Materials Acquisition &amp; Pre-processing (29.7%):</w:t>
      </w:r>
      <w:r>
        <w:t xml:space="preserve"> </w:t>
      </w:r>
      <w:r>
        <w:t xml:space="preserve">The production of raw materials, particularly the battery, PCB, and aluminum, contributes significantly to the upstream footprint.</w:t>
      </w:r>
    </w:p>
    <w:p>
      <w:pPr>
        <w:numPr>
          <w:ilvl w:val="0"/>
          <w:numId w:val="1013"/>
        </w:numPr>
        <w:pStyle w:val="Compact"/>
      </w:pPr>
      <w:r>
        <w:rPr>
          <w:bCs/>
          <w:b/>
        </w:rPr>
        <w:t xml:space="preserve">Manufacturing Energy (5.0%):</w:t>
      </w:r>
      <w:r>
        <w:t xml:space="preserve"> </w:t>
      </w:r>
      <w:r>
        <w:t xml:space="preserve">While renewable energy usage helps, the remaining non-renewable electricity still represents a notable portion.</w:t>
      </w:r>
    </w:p>
    <w:p>
      <w:pPr>
        <w:numPr>
          <w:ilvl w:val="0"/>
          <w:numId w:val="1013"/>
        </w:numPr>
        <w:pStyle w:val="Compact"/>
      </w:pPr>
      <w:r>
        <w:t xml:space="preserve">Transport and End-of-Life stages contribute a smaller percentage but are still important for a complete picture.</w:t>
      </w:r>
    </w:p>
    <w:bookmarkEnd w:id="43"/>
    <w:bookmarkStart w:id="44" w:name="reliability-and-limitations"/>
    <w:p>
      <w:pPr>
        <w:pStyle w:val="Heading3"/>
      </w:pPr>
      <w:r>
        <w:t xml:space="preserve">4.2. Reliability and Limitations</w:t>
      </w:r>
    </w:p>
    <w:p>
      <w:pPr>
        <w:pStyle w:val="FirstParagraph"/>
      </w:pPr>
      <w:r>
        <w:t xml:space="preserve">The reliability of this report is high due to the application of specific primary data points for BOM, energy usage, and logistics. However, certain assumptions were made for illustrative purposes (e.g., specific emission factors for grid electricity, last-mile distance, and EoL processes based on industry averages) where exact primary data was not provided. The accuracy would further benefit from site-specific emission factors for electricity grids and detailed waste management data. The adherence to GHG Protocol and focus on Scope 3 coverage enhances the comprehensiveness of the assessment.</w:t>
      </w:r>
    </w:p>
    <w:bookmarkEnd w:id="44"/>
    <w:bookmarkStart w:id="45" w:name="recommendations-for-reduction"/>
    <w:p>
      <w:pPr>
        <w:pStyle w:val="Heading3"/>
      </w:pPr>
      <w:r>
        <w:t xml:space="preserve">4.3. Recommendations for Reduction</w:t>
      </w:r>
    </w:p>
    <w:p>
      <w:pPr>
        <w:numPr>
          <w:ilvl w:val="0"/>
          <w:numId w:val="1014"/>
        </w:numPr>
        <w:pStyle w:val="Compact"/>
      </w:pPr>
      <w:r>
        <w:rPr>
          <w:bCs/>
          <w:b/>
        </w:rPr>
        <w:t xml:space="preserve">Optimize Use Phase Energy Efficiency:</w:t>
      </w:r>
      <w:r>
        <w:t xml:space="preserve"> </w:t>
      </w:r>
      <w:r>
        <w:t xml:space="preserve">Focus on designing</w:t>
      </w:r>
      <w:r>
        <w:t xml:space="preserve"> </w:t>
      </w:r>
      <w:r>
        <w:rPr>
          <w:bCs/>
          <w:b/>
        </w:rPr>
        <w:t xml:space="preserve">rvjthnvmmg</w:t>
      </w:r>
      <w:r>
        <w:t xml:space="preserve"> </w:t>
      </w:r>
      <w:r>
        <w:t xml:space="preserve">for lower power consumption during its operational life. Explore advanced power management features or offer lower-carbon energy solutions to users.</w:t>
      </w:r>
    </w:p>
    <w:p>
      <w:pPr>
        <w:numPr>
          <w:ilvl w:val="0"/>
          <w:numId w:val="1014"/>
        </w:numPr>
        <w:pStyle w:val="Compact"/>
      </w:pPr>
      <w:r>
        <w:rPr>
          <w:bCs/>
          <w:b/>
        </w:rPr>
        <w:t xml:space="preserve">Material Decarbonization:</w:t>
      </w:r>
      <w:r>
        <w:t xml:space="preserve"> </w:t>
      </w:r>
      <w:r>
        <w:t xml:space="preserve">Engage with suppliers to source lower-carbon materials or explore alternative, less carbon-intensive materials for key components, especially the battery, PCB, and aluminum.</w:t>
      </w:r>
    </w:p>
    <w:p>
      <w:pPr>
        <w:numPr>
          <w:ilvl w:val="0"/>
          <w:numId w:val="1014"/>
        </w:numPr>
        <w:pStyle w:val="Compact"/>
      </w:pPr>
      <w:r>
        <w:rPr>
          <w:bCs/>
          <w:b/>
        </w:rPr>
        <w:t xml:space="preserve">Increase Renewable Energy in Manufacturing:</w:t>
      </w:r>
      <w:r>
        <w:t xml:space="preserve"> </w:t>
      </w:r>
      <w:r>
        <w:t xml:space="preserve">Further increase the share of renewable energy used in the manufacturing facilities in China beyond the current 60% to reduce Scope 2 emissions.</w:t>
      </w:r>
    </w:p>
    <w:p>
      <w:pPr>
        <w:numPr>
          <w:ilvl w:val="0"/>
          <w:numId w:val="1014"/>
        </w:numPr>
        <w:pStyle w:val="Compact"/>
      </w:pPr>
      <w:r>
        <w:rPr>
          <w:bCs/>
          <w:b/>
        </w:rPr>
        <w:t xml:space="preserve">Enhance Circularity:</w:t>
      </w:r>
      <w:r>
        <w:t xml:space="preserve"> </w:t>
      </w:r>
      <w:r>
        <w:t xml:space="preserve">Strengthen take-back programs and explore design-for-disassembly principles to improve recyclability beyond 70%, potentially leading to greater avoided emissions at End-of-Life.</w:t>
      </w:r>
    </w:p>
    <w:p>
      <w:pPr>
        <w:numPr>
          <w:ilvl w:val="0"/>
          <w:numId w:val="1014"/>
        </w:numPr>
        <w:pStyle w:val="Compact"/>
      </w:pPr>
      <w:r>
        <w:rPr>
          <w:bCs/>
          <w:b/>
        </w:rPr>
        <w:t xml:space="preserve">Logistics Optimization:</w:t>
      </w:r>
      <w:r>
        <w:t xml:space="preserve"> </w:t>
      </w:r>
      <w:r>
        <w:t xml:space="preserve">Continuously optimize transport routes and consider alternative, lower-emission transport modes where feasible, especially for long-haul journeys.</w:t>
      </w:r>
    </w:p>
    <w:p>
      <w:r>
        <w:pict>
          <v:rect style="width:0;height:1.5pt" o:hralign="center" o:hrstd="t" o:hr="t"/>
        </w:pict>
      </w:r>
    </w:p>
    <w:p>
      <w:pPr>
        <w:pStyle w:val="FirstParagraph"/>
      </w:pPr>
      <w:r>
        <w:t xml:space="preserve">Confidential - Internal Use Only</w:t>
      </w:r>
    </w:p>
    <w:p>
      <w:pPr>
        <w:pStyle w:val="BodyText"/>
      </w:pPr>
      <w:r>
        <w:t xml:space="preserve">© 2026 wiugwxzdpf. All rights reserved.</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rvjthnvmmg</dc:title>
  <dc:creator/>
  <dc:description>Detailed Product Carbon Footprint (PCF) analysis for rvjthnvmmg by wiugwxzdpf, adhering to GHG Protocol and 2026 LSR and Scope 3 compliance.</dc:description>
  <dc:language>en</dc:language>
  <cp:keywords/>
  <dcterms:created xsi:type="dcterms:W3CDTF">2026-07-15T05:32:27Z</dcterms:created>
  <dcterms:modified xsi:type="dcterms:W3CDTF">2026-07-15T05:32:27Z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