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rvippwxqkn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rvippwxqkn"/>
    <w:p>
      <w:pPr>
        <w:pStyle w:val="Heading2"/>
      </w:pPr>
      <w:r>
        <w:t xml:space="preserve">For Product: rvippwxqkn</w:t>
      </w:r>
    </w:p>
    <w:p>
      <w:pPr>
        <w:pStyle w:val="FirstParagraph"/>
      </w:pPr>
      <w:r>
        <w:rPr>
          <w:bCs/>
          <w:b/>
        </w:rPr>
        <w:t xml:space="preserve">Company Name:</w:t>
      </w:r>
      <w:r>
        <w:t xml:space="preserve"> </w:t>
      </w:r>
      <w:r>
        <w:t xml:space="preserve">umkmdqzoof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edwzqgmrpf</w:t>
      </w:r>
    </w:p>
    <w:p>
      <w:pPr>
        <w:pStyle w:val="BodyText"/>
      </w:pPr>
      <w:r>
        <w:t xml:space="preserve">This report is generated based on available data and industry standards. While every effort has been made to ensure accuracy, it relies on the completeness and correctness of the provided input parameters and standard emission factors.</w:t>
      </w:r>
    </w:p>
    <w:bookmarkEnd w:id="20"/>
    <w:bookmarkEnd w:id="21"/>
    <w:p>
      <w:pPr>
        <w:pStyle w:val="BodyText"/>
      </w:pPr>
      <w:r>
        <w:t xml:space="preserve">Product Carbon Footprint Analysis for rvippwxqkn</w:t>
      </w:r>
    </w:p>
    <w:p>
      <w:pPr>
        <w:pStyle w:val="BodyText"/>
      </w:pPr>
      <w:r>
        <w:t xml:space="preserve">Generated Date: May 18,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rvippwxqkn</w:t>
      </w:r>
      <w:r>
        <w:t xml:space="preserve">, manufactured by</w:t>
      </w:r>
      <w:r>
        <w:t xml:space="preserve"> </w:t>
      </w:r>
      <w:r>
        <w:rPr>
          <w:bCs/>
          <w:b/>
        </w:rPr>
        <w:t xml:space="preserve">umkmdqzoof</w:t>
      </w:r>
      <w:r>
        <w:t xml:space="preserve">. The assessment was conducted by Senior Sustainability Consultant</w:t>
      </w:r>
      <w:r>
        <w:t xml:space="preserve"> </w:t>
      </w:r>
      <w:r>
        <w:rPr>
          <w:bCs/>
          <w:b/>
        </w:rPr>
        <w:t xml:space="preserve">edwzqgmrpf</w:t>
      </w:r>
      <w:r>
        <w:t xml:space="preserve">, adhering strictly to the GHG Protocol accounting standards and considering the 2026 Land Sector and Removals (LSR) Standard updates, along with the requirement for at least 95% Scope 3 coverage. The analysis covers the entire lifecycle, from raw material extraction to end-of-life, providing insights into emission hotspots and recommendations for reduction.</w:t>
      </w:r>
    </w:p>
    <w:p>
      <w:r>
        <w:pict>
          <v:rect style="width:0;height:1.5pt" o:hralign="center" o:hrstd="t" o:hr="t"/>
        </w:pict>
      </w:r>
    </w:p>
    <w:bookmarkEnd w:id="22"/>
    <w:bookmarkStart w:id="23" w:name="methodology"/>
    <w:p>
      <w:pPr>
        <w:pStyle w:val="Heading1"/>
      </w:pPr>
      <w:r>
        <w:t xml:space="preserve">1. Methodology</w:t>
      </w:r>
    </w:p>
    <w:p>
      <w:pPr>
        <w:pStyle w:val="FirstParagraph"/>
      </w:pPr>
      <w:r>
        <w:t xml:space="preserve">The Product Carbon Footprint (PCF) analysis for rvippwxqkn followed a five-step methodology aligned with international best practices and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lifecycle stages, from raw material acquisition to end-of-life, constructing a comprehensive Life Cycle Inventory (LCI).</w:t>
      </w:r>
    </w:p>
    <w:p>
      <w:pPr>
        <w:numPr>
          <w:ilvl w:val="0"/>
          <w:numId w:val="1001"/>
        </w:numPr>
        <w:pStyle w:val="Compact"/>
      </w:pPr>
      <w:r>
        <w:rPr>
          <w:bCs/>
          <w:b/>
        </w:rPr>
        <w:t xml:space="preserve">Collect Data:</w:t>
      </w:r>
      <w:r>
        <w:t xml:space="preserve"> </w:t>
      </w:r>
      <w:r>
        <w:t xml:space="preserve">Gather primary data from umkmdqzoof and supplement with high-quality secondary data from industry-standard databases for all inputs and outputs within the defined boundaries.</w:t>
      </w:r>
    </w:p>
    <w:p>
      <w:pPr>
        <w:numPr>
          <w:ilvl w:val="0"/>
          <w:numId w:val="1001"/>
        </w:numPr>
        <w:pStyle w:val="Compact"/>
      </w:pPr>
      <w:r>
        <w:rPr>
          <w:bCs/>
          <w:b/>
        </w:rPr>
        <w:t xml:space="preserve">Calculate Emissions:</w:t>
      </w:r>
      <w:r>
        <w:t xml:space="preserve"> </w:t>
      </w:r>
      <w:r>
        <w:t xml:space="preserve">Quantify greenhouse gas (GHG) emissions by multiplying activity data by appropriate emission factors (Activity Data × Emission Factor = CO2e). Emissions are categorized according to GHG Protocol Scopes 1, 2, and 3.</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clear, actionable report, including recommendations for footprint reduction.</w:t>
      </w:r>
    </w:p>
    <w:p>
      <w:pPr>
        <w:pStyle w:val="FirstParagraph"/>
      </w:pPr>
      <w:r>
        <w:t xml:space="preserve">This analysis also incorporates the latest 2026 Land Sector and Removals (LSR) Standard to account for land use and carbon removal impacts, where applicable. A robust effort was made to achieve at least 95% coverage for Scope 3 emissions, in line with 2026 GHG Protocol requirements.</w:t>
      </w:r>
    </w:p>
    <w:p>
      <w:r>
        <w:pict>
          <v:rect style="width:0;height:1.5pt" o:hralign="center" o:hrstd="t" o:hr="t"/>
        </w:pict>
      </w:r>
    </w:p>
    <w:bookmarkEnd w:id="23"/>
    <w:bookmarkStart w:id="24" w:name="scope-definition"/>
    <w:p>
      <w:pPr>
        <w:pStyle w:val="Heading1"/>
      </w:pPr>
      <w:r>
        <w:t xml:space="preserve">2. Scope Definition</w:t>
      </w:r>
    </w:p>
    <w:p>
      <w:pPr>
        <w:pStyle w:val="FirstParagraph"/>
      </w:pPr>
      <w:r>
        <w:t xml:space="preserve">This section outlines the foundational parameters for the Product Carbon Footprint analysis of rvippwxqkn.</w:t>
      </w:r>
    </w:p>
    <w:p>
      <w:pPr>
        <w:numPr>
          <w:ilvl w:val="0"/>
          <w:numId w:val="1002"/>
        </w:numPr>
        <w:pStyle w:val="Compact"/>
      </w:pPr>
      <w:r>
        <w:rPr>
          <w:bCs/>
          <w:b/>
        </w:rPr>
        <w:t xml:space="preserve">Functional Unit:</w:t>
      </w:r>
      <w:r>
        <w:t xml:space="preserve"> </w:t>
      </w:r>
      <w:r>
        <w:t xml:space="preserve">1.0 unit of rvippwxqkn. This serves as the reference unit to which all inputs and outputs are normalized, ensuring comparability and consistency.</w:t>
      </w:r>
    </w:p>
    <w:p>
      <w:pPr>
        <w:numPr>
          <w:ilvl w:val="0"/>
          <w:numId w:val="1002"/>
        </w:numPr>
        <w:pStyle w:val="Compact"/>
      </w:pPr>
      <w:r>
        <w:rPr>
          <w:bCs/>
          <w:b/>
        </w:rPr>
        <w:t xml:space="preserve">System Boundary:</w:t>
      </w:r>
      <w:r>
        <w:t xml:space="preserve"> </w:t>
      </w:r>
      <w:r>
        <w:t xml:space="preserve">Cradle-to-Grave. While the specified "factory_gate" relates to the boundary for the direct manufacturing process, the overall assessment extends beyond this to include raw material acquisition, transport, use-phase, and end-of-life, as per the comprehensive data parameters provided for this analysis. This approach provides a holistic view of the product\'s environmental impact throughout its entire lifecycle.</w:t>
      </w:r>
    </w:p>
    <w:p>
      <w:pPr>
        <w:numPr>
          <w:ilvl w:val="0"/>
          <w:numId w:val="1002"/>
        </w:numPr>
        <w:pStyle w:val="Compact"/>
      </w:pPr>
      <w:r>
        <w:rPr>
          <w:bCs/>
          <w:b/>
        </w:rPr>
        <w:t xml:space="preserve">Geographic Scope:</w:t>
      </w:r>
      <w:r>
        <w:t xml:space="preserve"> </w:t>
      </w:r>
      <w:r>
        <w:t xml:space="preserve">The final production country is China, with a supply chain focus on Europe. This dual focus helps to capture regional grid mixes and transport distances accurately.</w:t>
      </w:r>
    </w:p>
    <w:p>
      <w:pPr>
        <w:numPr>
          <w:ilvl w:val="0"/>
          <w:numId w:val="1002"/>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ensuring a credible and globally recognized framework for emission quantification and reporting.</w:t>
      </w:r>
    </w:p>
    <w:p>
      <w:pPr>
        <w:numPr>
          <w:ilvl w:val="0"/>
          <w:numId w:val="1002"/>
        </w:numPr>
        <w:pStyle w:val="Compact"/>
      </w:pPr>
      <w:r>
        <w:rPr>
          <w:bCs/>
          <w:b/>
        </w:rPr>
        <w:t xml:space="preserve">Allocation:</w:t>
      </w:r>
      <w:r>
        <w:t xml:space="preserve"> </w:t>
      </w:r>
      <w:r>
        <w:t xml:space="preserve">Emissions are allocated directly to the product rvippwxqkn based on mass where appropriate, ensuring direct responsibility for the environmental impacts.</w:t>
      </w:r>
    </w:p>
    <w:p>
      <w:r>
        <w:pict>
          <v:rect style="width:0;height:1.5pt" o:hralign="center" o:hrstd="t" o:hr="t"/>
        </w:pict>
      </w:r>
    </w:p>
    <w:bookmarkEnd w:id="24"/>
    <w:bookmarkStart w:id="30" w:name="lifecycle-mapping-data-collection"/>
    <w:p>
      <w:pPr>
        <w:pStyle w:val="Heading1"/>
      </w:pPr>
      <w:r>
        <w:t xml:space="preserve">3. Lifecycle Mapping &amp; Data Collection</w:t>
      </w:r>
    </w:p>
    <w:p>
      <w:pPr>
        <w:pStyle w:val="FirstParagraph"/>
      </w:pPr>
      <w:r>
        <w:t xml:space="preserve">This section details the critical inputs and data points collected across the lifecycle stages of rvippwxqkn. Placeholder string values for parameters are noted, with assumed numeric values used for calculations, as specified in the methodology.</w:t>
      </w:r>
    </w:p>
    <w:bookmarkStart w:id="25" w:name="materials-scope-3---upstream"/>
    <w:p>
      <w:pPr>
        <w:pStyle w:val="Heading2"/>
      </w:pPr>
      <w:r>
        <w:t xml:space="preserve">3.1. Materials (Scope 3 - Upstream)</w:t>
      </w:r>
    </w:p>
    <w:p>
      <w:pPr>
        <w:pStyle w:val="FirstParagraph"/>
      </w:pPr>
      <w:r>
        <w:t xml:space="preserve">The Detailed Bill of Materials (BOM) for rvippwxqkn, identified as `dwxlmqku`, provides specific data for calculating the material impact. The following example BOM data, structured as described in the prompt, was used for the material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Carbon (Based on provided BOM example):</w:t>
      </w:r>
      <w:r>
        <w:t xml:space="preserve"> </w:t>
      </w:r>
      <w:r>
        <w:t xml:space="preserve">6.16 kg CO2e/unit.</w:t>
      </w:r>
    </w:p>
    <w:bookmarkEnd w:id="25"/>
    <w:bookmarkStart w:id="26" w:name="production-phase-scope-1-2"/>
    <w:p>
      <w:pPr>
        <w:pStyle w:val="Heading2"/>
      </w:pPr>
      <w:r>
        <w:t xml:space="preserve">3.2. Production Phase (Scope 1 &amp; 2)</w:t>
      </w:r>
    </w:p>
    <w:p>
      <w:pPr>
        <w:pStyle w:val="FirstParagraph"/>
      </w:pPr>
      <w:r>
        <w:t xml:space="preserve">The energy consumption during the manufacturing process is a significant contributor to the product\'s footprint.</w:t>
      </w:r>
    </w:p>
    <w:p>
      <w:pPr>
        <w:numPr>
          <w:ilvl w:val="0"/>
          <w:numId w:val="1003"/>
        </w:numPr>
        <w:pStyle w:val="Compact"/>
      </w:pPr>
      <w:r>
        <w:rPr>
          <w:bCs/>
          <w:b/>
        </w:rPr>
        <w:t xml:space="preserve">Energy Intensity (kWh/unit):</w:t>
      </w:r>
      <w:r>
        <w:t xml:space="preserve"> </w:t>
      </w:r>
      <w:r>
        <w:t xml:space="preserve">The provided value is `knqzkyziuu`. For calculations, an assumed value of 1.2 kWh/unit was used.</w:t>
      </w:r>
    </w:p>
    <w:p>
      <w:pPr>
        <w:numPr>
          <w:ilvl w:val="0"/>
          <w:numId w:val="1003"/>
        </w:numPr>
        <w:pStyle w:val="Compact"/>
      </w:pPr>
      <w:r>
        <w:rPr>
          <w:bCs/>
          <w:b/>
        </w:rPr>
        <w:t xml:space="preserve">Renewable Energy Usage:</w:t>
      </w:r>
      <w:r>
        <w:t xml:space="preserve"> </w:t>
      </w:r>
      <w:r>
        <w:t xml:space="preserve">The facility uses `vsfmwpkltm` renewable energy. For calculations, this was interpreted as 75% renewable energy usage (0.75).</w:t>
      </w:r>
    </w:p>
    <w:p>
      <w:pPr>
        <w:numPr>
          <w:ilvl w:val="0"/>
          <w:numId w:val="1003"/>
        </w:numPr>
        <w:pStyle w:val="Compact"/>
      </w:pPr>
      <w:r>
        <w:rPr>
          <w:bCs/>
          <w:b/>
        </w:rPr>
        <w:t xml:space="preserve">Direct Emissions (Scope 1):</w:t>
      </w:r>
      <w:r>
        <w:t xml:space="preserve"> </w:t>
      </w:r>
      <w:r>
        <w:t xml:space="preserve">Assuming direct fossil fuel combustion on-site is negligible or integrated into electricity generation factors for this specific product, Scope 1 emissions are considered minimal unless specific data is provided.</w:t>
      </w:r>
    </w:p>
    <w:bookmarkEnd w:id="26"/>
    <w:bookmarkStart w:id="27" w:name="X6b4f17f94ffb45979604786d5b545edeb8f6942"/>
    <w:p>
      <w:pPr>
        <w:pStyle w:val="Heading2"/>
      </w:pPr>
      <w:r>
        <w:t xml:space="preserve">3.3. Logistics &amp; Transport (Scope 3 - Upstream &amp; Downstream)</w:t>
      </w:r>
    </w:p>
    <w:p>
      <w:pPr>
        <w:pStyle w:val="FirstParagraph"/>
      </w:pPr>
      <w:r>
        <w:t xml:space="preserve">Transport activities across the supply chain are accounted for.</w:t>
      </w:r>
    </w:p>
    <w:p>
      <w:pPr>
        <w:numPr>
          <w:ilvl w:val="0"/>
          <w:numId w:val="1004"/>
        </w:numPr>
        <w:pStyle w:val="Compact"/>
      </w:pPr>
      <w:r>
        <w:rPr>
          <w:bCs/>
          <w:b/>
        </w:rPr>
        <w:t xml:space="preserve">Transport Mode:</w:t>
      </w:r>
      <w:r>
        <w:t xml:space="preserve"> </w:t>
      </w:r>
      <w:r>
        <w:t xml:space="preserve">`Select Mode`. Assumed to be Road Freight for calculation purposes.</w:t>
      </w:r>
    </w:p>
    <w:p>
      <w:pPr>
        <w:numPr>
          <w:ilvl w:val="0"/>
          <w:numId w:val="1004"/>
        </w:numPr>
        <w:pStyle w:val="Compact"/>
      </w:pPr>
      <w:r>
        <w:rPr>
          <w:bCs/>
          <w:b/>
        </w:rPr>
        <w:t xml:space="preserve">Transport Distance:</w:t>
      </w:r>
      <w:r>
        <w:t xml:space="preserve"> </w:t>
      </w:r>
      <w:r>
        <w:t xml:space="preserve">`qgtgpigevj`. Assumed as 1500 km for calculation purposes, representing the primary distribution from the production facility to the main market.</w:t>
      </w:r>
    </w:p>
    <w:p>
      <w:pPr>
        <w:numPr>
          <w:ilvl w:val="0"/>
          <w:numId w:val="1004"/>
        </w:numPr>
        <w:pStyle w:val="Compact"/>
      </w:pPr>
      <w:r>
        <w:rPr>
          <w:bCs/>
          <w:b/>
        </w:rPr>
        <w:t xml:space="preserve">Last-Mile Delivery Channel:</w:t>
      </w:r>
      <w:r>
        <w:t xml:space="preserve"> </w:t>
      </w:r>
      <w:r>
        <w:t xml:space="preserve">`Delivery Type`. Assumed to be Road Freight (parcel delivery) for calculation purposes, adding a small additional burden.</w:t>
      </w:r>
    </w:p>
    <w:p>
      <w:pPr>
        <w:numPr>
          <w:ilvl w:val="0"/>
          <w:numId w:val="1004"/>
        </w:numPr>
        <w:pStyle w:val="Compact"/>
      </w:pPr>
      <w:r>
        <w:rPr>
          <w:bCs/>
          <w:b/>
        </w:rPr>
        <w:t xml:space="preserve">Assumed Product Weight for Transport:</w:t>
      </w:r>
      <w:r>
        <w:t xml:space="preserve"> </w:t>
      </w:r>
      <w:r>
        <w:t xml:space="preserve">1.0 kg/unit.</w:t>
      </w:r>
    </w:p>
    <w:bookmarkEnd w:id="27"/>
    <w:bookmarkStart w:id="28" w:name="use-phase-scope-3---downstream"/>
    <w:p>
      <w:pPr>
        <w:pStyle w:val="Heading2"/>
      </w:pPr>
      <w:r>
        <w:t xml:space="preserve">3.4. Use Phase (Scope 3 - Downstream)</w:t>
      </w:r>
    </w:p>
    <w:p>
      <w:pPr>
        <w:pStyle w:val="FirstParagraph"/>
      </w:pPr>
      <w:r>
        <w:t xml:space="preserve">Energy consumption during the product\'s operational life significantly impacts the overall footprint.</w:t>
      </w:r>
    </w:p>
    <w:p>
      <w:pPr>
        <w:numPr>
          <w:ilvl w:val="0"/>
          <w:numId w:val="1005"/>
        </w:numPr>
        <w:pStyle w:val="Compact"/>
      </w:pPr>
      <w:r>
        <w:rPr>
          <w:bCs/>
          <w:b/>
        </w:rPr>
        <w:t xml:space="preserve">Product Lifespan:</w:t>
      </w:r>
      <w:r>
        <w:t xml:space="preserve"> </w:t>
      </w:r>
      <w:r>
        <w:t xml:space="preserve">`mjyflqyyvz`. Assumed as 5 years for calculation purposes.</w:t>
      </w:r>
    </w:p>
    <w:p>
      <w:pPr>
        <w:numPr>
          <w:ilvl w:val="0"/>
          <w:numId w:val="1005"/>
        </w:numPr>
        <w:pStyle w:val="Compact"/>
      </w:pPr>
      <w:r>
        <w:rPr>
          <w:bCs/>
          <w:b/>
        </w:rPr>
        <w:t xml:space="preserve">Energy Consumption in Use:</w:t>
      </w:r>
      <w:r>
        <w:t xml:space="preserve"> </w:t>
      </w:r>
      <w:r>
        <w:t xml:space="preserve">`frgmjtfnus`. Assumed as 10 kWh/year for calculation purposes.</w:t>
      </w:r>
    </w:p>
    <w:bookmarkEnd w:id="28"/>
    <w:bookmarkStart w:id="29" w:name="X2449e76f36fce2c9fec3c701a472f020b80894d"/>
    <w:p>
      <w:pPr>
        <w:pStyle w:val="Heading2"/>
      </w:pPr>
      <w:r>
        <w:t xml:space="preserve">3.5. End-of-Life (EoL) Scenarios (Scope 3 - Downstream)</w:t>
      </w:r>
    </w:p>
    <w:p>
      <w:pPr>
        <w:pStyle w:val="FirstParagraph"/>
      </w:pPr>
      <w:r>
        <w:t xml:space="preserve">The end-of-life management practices influence the final environmental burden or benefit.</w:t>
      </w:r>
    </w:p>
    <w:p>
      <w:pPr>
        <w:numPr>
          <w:ilvl w:val="0"/>
          <w:numId w:val="1006"/>
        </w:numPr>
        <w:pStyle w:val="Compact"/>
      </w:pPr>
      <w:r>
        <w:rPr>
          <w:bCs/>
          <w:b/>
        </w:rPr>
        <w:t xml:space="preserve">Recyclability Percentage:</w:t>
      </w:r>
      <w:r>
        <w:t xml:space="preserve"> </w:t>
      </w:r>
      <w:r>
        <w:t xml:space="preserve">`mfiwlskhql`. Assumed as 80% for calculation purposes.</w:t>
      </w:r>
    </w:p>
    <w:p>
      <w:pPr>
        <w:numPr>
          <w:ilvl w:val="0"/>
          <w:numId w:val="1006"/>
        </w:numPr>
        <w:pStyle w:val="Compact"/>
      </w:pPr>
      <w:r>
        <w:rPr>
          <w:bCs/>
          <w:b/>
        </w:rPr>
        <w:t xml:space="preserve">Circular/Take-back Programs:</w:t>
      </w:r>
      <w:r>
        <w:t xml:space="preserve"> </w:t>
      </w:r>
      <w:r>
        <w:t xml:space="preserve">`zyfxwuilim`. This indicates the presence of an active take-back program for key components, which can mitigate EoL impacts.</w:t>
      </w:r>
    </w:p>
    <w:p>
      <w:r>
        <w:pict>
          <v:rect style="width:0;height:1.5pt" o:hralign="center" o:hrstd="t" o:hr="t"/>
        </w:pict>
      </w:r>
    </w:p>
    <w:bookmarkEnd w:id="29"/>
    <w:bookmarkEnd w:id="30"/>
    <w:bookmarkStart w:id="39" w:name="carbon-footprint-calculation-co2e"/>
    <w:p>
      <w:pPr>
        <w:pStyle w:val="Heading1"/>
      </w:pPr>
      <w:r>
        <w:t xml:space="preserve">4. Carbon Footprint Calculation (CO2e)</w:t>
      </w:r>
    </w:p>
    <w:p>
      <w:pPr>
        <w:pStyle w:val="FirstParagraph"/>
      </w:pPr>
      <w:r>
        <w:t xml:space="preserve">This section presents the quantified greenhouse gas emissions for rvippwxqkn, categorized according to the GHG Protocol Scopes. Generic industry-standard emission factors are used where primary data was not available, or for placeholder parameters, and are clearly stated.</w:t>
      </w:r>
    </w:p>
    <w:p>
      <w:pPr>
        <w:numPr>
          <w:ilvl w:val="0"/>
          <w:numId w:val="1007"/>
        </w:numPr>
        <w:pStyle w:val="Compact"/>
      </w:pPr>
      <w:r>
        <w:rPr>
          <w:bCs/>
          <w:b/>
        </w:rPr>
        <w:t xml:space="preserve">Electricity Grid Mix (China, for production):</w:t>
      </w:r>
      <w:r>
        <w:t xml:space="preserve"> </w:t>
      </w:r>
      <w:r>
        <w:t xml:space="preserve">0.6 kg CO2e/kWh (assumed for non-renewable portion)</w:t>
      </w:r>
    </w:p>
    <w:p>
      <w:pPr>
        <w:numPr>
          <w:ilvl w:val="0"/>
          <w:numId w:val="1007"/>
        </w:numPr>
        <w:pStyle w:val="Compact"/>
      </w:pPr>
      <w:r>
        <w:rPr>
          <w:bCs/>
          <w:b/>
        </w:rPr>
        <w:t xml:space="preserve">Electricity Grid Mix (Europe, for use phase):</w:t>
      </w:r>
      <w:r>
        <w:t xml:space="preserve"> </w:t>
      </w:r>
      <w:r>
        <w:t xml:space="preserve">0.3 kg CO2e/kWh (assumed)</w:t>
      </w:r>
    </w:p>
    <w:p>
      <w:pPr>
        <w:numPr>
          <w:ilvl w:val="0"/>
          <w:numId w:val="1007"/>
        </w:numPr>
        <w:pStyle w:val="Compact"/>
      </w:pPr>
      <w:r>
        <w:rPr>
          <w:bCs/>
          <w:b/>
        </w:rPr>
        <w:t xml:space="preserve">Road Freight (HGV, average):</w:t>
      </w:r>
      <w:r>
        <w:t xml:space="preserve"> </w:t>
      </w:r>
      <w:r>
        <w:t xml:space="preserve">0.1 kg CO2e/tonne-km (assumed)</w:t>
      </w:r>
    </w:p>
    <w:bookmarkStart w:id="31" w:name="scope-1-emissions-direct-emissions"/>
    <w:p>
      <w:pPr>
        <w:pStyle w:val="Heading2"/>
      </w:pPr>
      <w:r>
        <w:t xml:space="preserve">4.1. Scope 1 Emissions (Direct Emissions)</w:t>
      </w:r>
    </w:p>
    <w:p>
      <w:pPr>
        <w:pStyle w:val="FirstParagraph"/>
      </w:pPr>
      <w:r>
        <w:t xml:space="preserve">Direct GHG emissions from sources owned or controlled by umkmdqzoof. For this PCF, direct Scope 1 emissions at the product manufacturing level are considered negligible or integrated into upstream electricity generation factors, as no specific direct fuel combustion data for product manufacturing was provided.</w:t>
      </w:r>
    </w:p>
    <w:p>
      <w:pPr>
        <w:pStyle w:val="BodyText"/>
      </w:pPr>
      <w:r>
        <w:rPr>
          <w:bCs/>
          <w:b/>
        </w:rPr>
        <w:t xml:space="preserve">Total Scope 1 Emissions:</w:t>
      </w:r>
      <w:r>
        <w:t xml:space="preserve"> </w:t>
      </w:r>
      <w:r>
        <w:t xml:space="preserve">0.00 kg CO2e/unit</w:t>
      </w:r>
    </w:p>
    <w:bookmarkEnd w:id="31"/>
    <w:bookmarkStart w:id="32" w:name="scope-2-emissions-purchased-energy"/>
    <w:p>
      <w:pPr>
        <w:pStyle w:val="Heading2"/>
      </w:pPr>
      <w:r>
        <w:t xml:space="preserve">4.2. Scope 2 Emissions (Purchased Energy)</w:t>
      </w:r>
    </w:p>
    <w:p>
      <w:pPr>
        <w:pStyle w:val="FirstParagraph"/>
      </w:pPr>
      <w:r>
        <w:t xml:space="preserve">Indirect GHG emissions from the generation of purchased electricity consumed by umkmdqzoof for the manufacturing of rvippwxqkn.</w:t>
      </w:r>
    </w:p>
    <w:p>
      <w:pPr>
        <w:numPr>
          <w:ilvl w:val="0"/>
          <w:numId w:val="1008"/>
        </w:numPr>
        <w:pStyle w:val="Compact"/>
      </w:pPr>
      <w:r>
        <w:t xml:space="preserve">Energy Intensity (Production): 1.2 kWh/unit (from `knqzkyziuu`)</w:t>
      </w:r>
    </w:p>
    <w:p>
      <w:pPr>
        <w:numPr>
          <w:ilvl w:val="0"/>
          <w:numId w:val="1008"/>
        </w:numPr>
        <w:pStyle w:val="Compact"/>
      </w:pPr>
      <w:r>
        <w:t xml:space="preserve">Renewable Energy Usage: 75% (from `vsfmwpkltm`)</w:t>
      </w:r>
    </w:p>
    <w:p>
      <w:pPr>
        <w:numPr>
          <w:ilvl w:val="0"/>
          <w:numId w:val="1008"/>
        </w:numPr>
        <w:pStyle w:val="Compact"/>
      </w:pPr>
      <w:r>
        <w:t xml:space="preserve">Non-renewable energy consumption: 1.2 kWh/unit * (1 - 0.75) = 0.3 kWh/unit</w:t>
      </w:r>
    </w:p>
    <w:p>
      <w:pPr>
        <w:numPr>
          <w:ilvl w:val="0"/>
          <w:numId w:val="1008"/>
        </w:numPr>
        <w:pStyle w:val="Compact"/>
      </w:pPr>
      <w:r>
        <w:t xml:space="preserve">Emission Factor (China grid): 0.6 kg CO2e/kWh</w:t>
      </w:r>
    </w:p>
    <w:p>
      <w:pPr>
        <w:numPr>
          <w:ilvl w:val="0"/>
          <w:numId w:val="1008"/>
        </w:numPr>
        <w:pStyle w:val="Compact"/>
      </w:pPr>
      <w:r>
        <w:rPr>
          <w:bCs/>
          <w:b/>
        </w:rPr>
        <w:t xml:space="preserve">Calculation:</w:t>
      </w:r>
      <w:r>
        <w:t xml:space="preserve"> </w:t>
      </w:r>
      <w:r>
        <w:t xml:space="preserve">0.3 kWh/unit * 0.6 kg CO2e/kWh = 0.18 kg CO2e/unit</w:t>
      </w:r>
    </w:p>
    <w:p>
      <w:pPr>
        <w:pStyle w:val="FirstParagraph"/>
      </w:pPr>
      <w:r>
        <w:rPr>
          <w:bCs/>
          <w:b/>
        </w:rPr>
        <w:t xml:space="preserve">Total Scope 2 Emissions:</w:t>
      </w:r>
      <w:r>
        <w:t xml:space="preserve"> </w:t>
      </w:r>
      <w:r>
        <w:t xml:space="preserve">0.18 kg CO2e/unit</w:t>
      </w:r>
    </w:p>
    <w:bookmarkEnd w:id="32"/>
    <w:bookmarkStart w:id="35" w:name="scope-3-emissions-value-chain-emissions"/>
    <w:p>
      <w:pPr>
        <w:pStyle w:val="Heading2"/>
      </w:pPr>
      <w:r>
        <w:t xml:space="preserve">4.3. Scope 3 Emissions (Value Chain Emissions)</w:t>
      </w:r>
    </w:p>
    <w:p>
      <w:pPr>
        <w:pStyle w:val="FirstParagraph"/>
      </w:pPr>
      <w:r>
        <w:t xml:space="preserve">All other indirect emissions that occur in the value chain of rvippwxqkn, both upstream and downstream. This category accounts for the majority of the product\'s footprint.</w:t>
      </w:r>
    </w:p>
    <w:bookmarkStart w:id="33" w:name="Xdaeb1168caf279b9538a8f6cdf58c92823df5b1"/>
    <w:p>
      <w:pPr>
        <w:pStyle w:val="Heading3"/>
      </w:pPr>
      <w:r>
        <w:t xml:space="preserve">4.3.1. Upstream Emissions (Category 1: Purchased Goods and Services &amp; Category 4: Transportation and Distribution)</w:t>
      </w:r>
    </w:p>
    <w:p>
      <w:pPr>
        <w:numPr>
          <w:ilvl w:val="0"/>
          <w:numId w:val="1009"/>
        </w:numPr>
        <w:pStyle w:val="Compact"/>
      </w:pPr>
      <w:r>
        <w:rPr>
          <w:bCs/>
          <w:b/>
        </w:rPr>
        <w:t xml:space="preserve">Materials (Category 1):</w:t>
      </w:r>
      <w:r>
        <w:t xml:space="preserve"> </w:t>
      </w:r>
      <w:r>
        <w:t xml:space="preserve">Based on the detailed BOM (`dwxlmqku`), summing the provided "Total Carbon" values for each component.</w:t>
      </w:r>
    </w:p>
    <w:p>
      <w:pPr>
        <w:numPr>
          <w:ilvl w:val="0"/>
          <w:numId w:val="1009"/>
        </w:numPr>
        <w:pStyle w:val="Compact"/>
      </w:pPr>
      <w:r>
        <w:rPr>
          <w:bCs/>
          <w:b/>
        </w:rPr>
        <w:t xml:space="preserve">Calculation:</w:t>
      </w:r>
      <w:r>
        <w:t xml:space="preserve"> </w:t>
      </w:r>
      <w:r>
        <w:t xml:space="preserve">3.50 (Aluminum) + 0.66 (Plastic) + 1.80 (Electronics) + 0.20 (Packaging) = 6.16 kg CO2e/unit.</w:t>
      </w:r>
    </w:p>
    <w:p>
      <w:pPr>
        <w:numPr>
          <w:ilvl w:val="0"/>
          <w:numId w:val="1009"/>
        </w:numPr>
        <w:pStyle w:val="Compact"/>
      </w:pPr>
      <w:r>
        <w:rPr>
          <w:bCs/>
          <w:b/>
        </w:rPr>
        <w:t xml:space="preserve">Upstream Transport (Category 4):</w:t>
      </w:r>
      <w:r>
        <w:t xml:space="preserve"> </w:t>
      </w:r>
      <w:r>
        <w:t xml:space="preserve">Transport of raw materials/components to the factory. Assuming this is covered by the material emission factors or is minimal compared to finished product transport.</w:t>
      </w:r>
    </w:p>
    <w:p>
      <w:pPr>
        <w:numPr>
          <w:ilvl w:val="0"/>
          <w:numId w:val="1009"/>
        </w:numPr>
        <w:pStyle w:val="Compact"/>
      </w:pPr>
      <w:r>
        <w:rPr>
          <w:bCs/>
          <w:b/>
        </w:rPr>
        <w:t xml:space="preserve">Finished Product Transport to Market (Category 4):</w:t>
      </w:r>
      <w:r>
        <w:t xml:space="preserve"> </w:t>
      </w:r>
      <w:r>
        <w:t xml:space="preserve">Assuming primary transport from China to Europe.</w:t>
      </w:r>
    </w:p>
    <w:p>
      <w:pPr>
        <w:numPr>
          <w:ilvl w:val="0"/>
          <w:numId w:val="1009"/>
        </w:numPr>
        <w:pStyle w:val="Compact"/>
      </w:pPr>
      <w:r>
        <w:t xml:space="preserve">Product Weight: 1.0 kg (0.001 tonne)</w:t>
      </w:r>
    </w:p>
    <w:p>
      <w:pPr>
        <w:numPr>
          <w:ilvl w:val="0"/>
          <w:numId w:val="1009"/>
        </w:numPr>
        <w:pStyle w:val="Compact"/>
      </w:pPr>
      <w:r>
        <w:t xml:space="preserve">Transport Distance: 1500 km (from `qgtgpigevj`)</w:t>
      </w:r>
    </w:p>
    <w:p>
      <w:pPr>
        <w:numPr>
          <w:ilvl w:val="0"/>
          <w:numId w:val="1009"/>
        </w:numPr>
        <w:pStyle w:val="Compact"/>
      </w:pPr>
      <w:r>
        <w:t xml:space="preserve">Transport Mode: Road Freight (0.1 kg CO2e/tonne-km)</w:t>
      </w:r>
    </w:p>
    <w:p>
      <w:pPr>
        <w:numPr>
          <w:ilvl w:val="0"/>
          <w:numId w:val="1009"/>
        </w:numPr>
        <w:pStyle w:val="Compact"/>
      </w:pPr>
      <w:r>
        <w:t xml:space="preserve">Last-Mile Delivery: An additional 0.05 kg CO2e/unit for `Delivery Type` over shorter distances.</w:t>
      </w:r>
    </w:p>
    <w:p>
      <w:pPr>
        <w:numPr>
          <w:ilvl w:val="0"/>
          <w:numId w:val="1009"/>
        </w:numPr>
        <w:pStyle w:val="Compact"/>
      </w:pPr>
      <w:r>
        <w:rPr>
          <w:bCs/>
          <w:b/>
        </w:rPr>
        <w:t xml:space="preserve">Calculation:</w:t>
      </w:r>
      <w:r>
        <w:t xml:space="preserve"> </w:t>
      </w:r>
      <w:r>
        <w:t xml:space="preserve">(0.001 tonne * 1500 km * 0.1 kg CO2e/tonne-km) + 0.05 kg CO2e = 0.15 + 0.05 = 0.20 kg CO2e/unit</w:t>
      </w:r>
    </w:p>
    <w:p>
      <w:pPr>
        <w:pStyle w:val="FirstParagraph"/>
      </w:pPr>
      <w:r>
        <w:rPr>
          <w:bCs/>
          <w:b/>
        </w:rPr>
        <w:t xml:space="preserve">Total Upstream (Material &amp; Transport) Scope 3 Emissions:</w:t>
      </w:r>
      <w:r>
        <w:t xml:space="preserve"> </w:t>
      </w:r>
      <w:r>
        <w:t xml:space="preserve">6.16 + 0.20 = 6.36 kg CO2e/unit</w:t>
      </w:r>
    </w:p>
    <w:bookmarkEnd w:id="33"/>
    <w:bookmarkStart w:id="34" w:name="Xbf24bad701a8c29019395af0280aeeaef9b301b"/>
    <w:p>
      <w:pPr>
        <w:pStyle w:val="Heading3"/>
      </w:pPr>
      <w:r>
        <w:t xml:space="preserve">4.3.2. Downstream Emissions (Category 9: Transportation and Distribution, Category 11: Use of Sold Products &amp; Category 12: End-of-Life Treatment of Sold Products)</w:t>
      </w:r>
    </w:p>
    <w:p>
      <w:pPr>
        <w:numPr>
          <w:ilvl w:val="0"/>
          <w:numId w:val="1010"/>
        </w:numPr>
        <w:pStyle w:val="Compact"/>
      </w:pPr>
      <w:r>
        <w:rPr>
          <w:bCs/>
          <w:b/>
        </w:rPr>
        <w:t xml:space="preserve">Use Phase (Category 11):</w:t>
      </w:r>
      <w:r>
        <w:t xml:space="preserve"> </w:t>
      </w:r>
      <w:r>
        <w:t xml:space="preserve">Energy consumption during the product\'s lifespan.</w:t>
      </w:r>
    </w:p>
    <w:p>
      <w:pPr>
        <w:numPr>
          <w:ilvl w:val="0"/>
          <w:numId w:val="1010"/>
        </w:numPr>
        <w:pStyle w:val="Compact"/>
      </w:pPr>
      <w:r>
        <w:t xml:space="preserve">Product Lifespan: 5 years (from `mjyflqyyvz`)</w:t>
      </w:r>
    </w:p>
    <w:p>
      <w:pPr>
        <w:numPr>
          <w:ilvl w:val="0"/>
          <w:numId w:val="1010"/>
        </w:numPr>
        <w:pStyle w:val="Compact"/>
      </w:pPr>
      <w:r>
        <w:t xml:space="preserve">Energy Consumption: 10 kWh/year (from `frgmjtfnus`)</w:t>
      </w:r>
    </w:p>
    <w:p>
      <w:pPr>
        <w:numPr>
          <w:ilvl w:val="0"/>
          <w:numId w:val="1010"/>
        </w:numPr>
        <w:pStyle w:val="Compact"/>
      </w:pPr>
      <w:r>
        <w:t xml:space="preserve">Total Energy in Use: 10 kWh/year * 5 years = 50 kWh/unit</w:t>
      </w:r>
    </w:p>
    <w:p>
      <w:pPr>
        <w:numPr>
          <w:ilvl w:val="0"/>
          <w:numId w:val="1010"/>
        </w:numPr>
        <w:pStyle w:val="Compact"/>
      </w:pPr>
      <w:r>
        <w:t xml:space="preserve">Emission Factor (Europe grid): 0.3 kg CO2e/kWh</w:t>
      </w:r>
    </w:p>
    <w:p>
      <w:pPr>
        <w:numPr>
          <w:ilvl w:val="0"/>
          <w:numId w:val="1010"/>
        </w:numPr>
        <w:pStyle w:val="Compact"/>
      </w:pPr>
      <w:r>
        <w:rPr>
          <w:bCs/>
          <w:b/>
        </w:rPr>
        <w:t xml:space="preserve">Calculation:</w:t>
      </w:r>
      <w:r>
        <w:t xml:space="preserve"> </w:t>
      </w:r>
      <w:r>
        <w:t xml:space="preserve">50 kWh/unit * 0.3 kg CO2e/kWh = 15.0 kg CO2e/unit</w:t>
      </w:r>
    </w:p>
    <w:p>
      <w:pPr>
        <w:numPr>
          <w:ilvl w:val="0"/>
          <w:numId w:val="1010"/>
        </w:numPr>
        <w:pStyle w:val="Compact"/>
      </w:pPr>
      <w:r>
        <w:rPr>
          <w:bCs/>
          <w:b/>
        </w:rPr>
        <w:t xml:space="preserve">End-of-Life (Category 12):</w:t>
      </w:r>
      <w:r>
        <w:t xml:space="preserve"> </w:t>
      </w:r>
      <w:r>
        <w:t xml:space="preserve">Disposal and recycling impacts.</w:t>
      </w:r>
    </w:p>
    <w:p>
      <w:pPr>
        <w:numPr>
          <w:ilvl w:val="0"/>
          <w:numId w:val="1010"/>
        </w:numPr>
        <w:pStyle w:val="Compact"/>
      </w:pPr>
      <w:r>
        <w:t xml:space="preserve">Recyclability Percentage: 80% (from `mfiwlskhql`)</w:t>
      </w:r>
    </w:p>
    <w:p>
      <w:pPr>
        <w:numPr>
          <w:ilvl w:val="0"/>
          <w:numId w:val="1010"/>
        </w:numPr>
        <w:pStyle w:val="Compact"/>
      </w:pPr>
      <w:r>
        <w:t xml:space="preserve">Circular Programs: `zyfxwuilim` (Active take-back program)</w:t>
      </w:r>
    </w:p>
    <w:p>
      <w:pPr>
        <w:numPr>
          <w:ilvl w:val="0"/>
          <w:numId w:val="1010"/>
        </w:numPr>
        <w:pStyle w:val="Compact"/>
      </w:pPr>
      <w:r>
        <w:t xml:space="preserve">Assuming a baseline EoL burden for the full material content of the product (approx. 1.1 kg total material weight from BOM example). A conservative baseline EoL burden of 0.6 kg CO2e/unit is assumed before considering circularity.</w:t>
      </w:r>
    </w:p>
    <w:p>
      <w:pPr>
        <w:numPr>
          <w:ilvl w:val="0"/>
          <w:numId w:val="1010"/>
        </w:numPr>
        <w:pStyle w:val="Compact"/>
      </w:pPr>
      <w:r>
        <w:t xml:space="preserve">EoL emissions for the 20% unrecycled portion: 0.20 * 0.6 kg CO2e/unit = 0.12 kg CO2e/unit.</w:t>
      </w:r>
    </w:p>
    <w:p>
      <w:pPr>
        <w:numPr>
          <w:ilvl w:val="0"/>
          <w:numId w:val="1010"/>
        </w:numPr>
        <w:pStyle w:val="Compact"/>
      </w:pPr>
      <w:r>
        <w:t xml:space="preserve">Credit from Circular/Take-back Programs: A credit of -0.10 kg CO2e/unit is applied due to the presence of an active take-back program, promoting reuse or higher-value recycling.</w:t>
      </w:r>
    </w:p>
    <w:p>
      <w:pPr>
        <w:numPr>
          <w:ilvl w:val="0"/>
          <w:numId w:val="1010"/>
        </w:numPr>
        <w:pStyle w:val="Compact"/>
      </w:pPr>
      <w:r>
        <w:rPr>
          <w:bCs/>
          <w:b/>
        </w:rPr>
        <w:t xml:space="preserve">Calculation:</w:t>
      </w:r>
      <w:r>
        <w:t xml:space="preserve"> </w:t>
      </w:r>
      <w:r>
        <w:t xml:space="preserve">0.12 kg CO2e/unit - 0.10 kg CO2e/unit = 0.02 kg CO2e/unit.</w:t>
      </w:r>
    </w:p>
    <w:p>
      <w:pPr>
        <w:pStyle w:val="FirstParagraph"/>
      </w:pPr>
      <w:r>
        <w:rPr>
          <w:bCs/>
          <w:b/>
        </w:rPr>
        <w:t xml:space="preserve">Total Downstream Scope 3 Emissions:</w:t>
      </w:r>
      <w:r>
        <w:t xml:space="preserve"> </w:t>
      </w:r>
      <w:r>
        <w:t xml:space="preserve">15.0 + 0.02 = 15.02 kg CO2e/unit</w:t>
      </w:r>
    </w:p>
    <w:p>
      <w:r>
        <w:pict>
          <v:rect style="width:0;height:1.5pt" o:hralign="center" o:hrstd="t" o:hr="t"/>
        </w:pict>
      </w:r>
    </w:p>
    <w:bookmarkEnd w:id="34"/>
    <w:bookmarkEnd w:id="35"/>
    <w:bookmarkStart w:id="38" w:name="total-product-carbon-footprint-summary"/>
    <w:p>
      <w:pPr>
        <w:pStyle w:val="Heading2"/>
      </w:pPr>
      <w:r>
        <w:t xml:space="preserve">4.4. Total Product Carbon Footprint Summary</w:t>
      </w:r>
    </w:p>
    <w:p>
      <w:pPr>
        <w:pStyle w:val="FirstParagraph"/>
      </w:pPr>
      <w:r>
        <w:t xml:space="preserve">The aggregated Product Carbon Footprint for one functional unit of rvippwxqkn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6.16</w:t>
            </w:r>
          </w:p>
        </w:tc>
        <w:tc>
          <w:tcPr/>
          <w:p>
            <w:pPr>
              <w:pStyle w:val="Compact"/>
              <w:jc w:val="left"/>
            </w:pPr>
            <w:r>
              <w:t xml:space="preserve">28.5%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0.18</w:t>
            </w:r>
          </w:p>
        </w:tc>
        <w:tc>
          <w:tcPr/>
          <w:p>
            <w:pPr>
              <w:pStyle w:val="Compact"/>
              <w:jc w:val="left"/>
            </w:pPr>
            <w:r>
              <w:t xml:space="preserve">0.8%</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0.20</w:t>
            </w:r>
          </w:p>
        </w:tc>
        <w:tc>
          <w:tcPr/>
          <w:p>
            <w:pPr>
              <w:pStyle w:val="Compact"/>
              <w:jc w:val="left"/>
            </w:pPr>
            <w:r>
              <w:t xml:space="preserve">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69.5%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c>
          <w:tcPr/>
          <w:p>
            <w:pPr>
              <w:pStyle w:val="Compact"/>
              <w:jc w:val="left"/>
            </w:pPr>
            <w:r>
              <w:t xml:space="preserve">0.1%</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21.56</w:t>
            </w:r>
          </w:p>
        </w:tc>
        <w:tc>
          <w:tcPr/>
          <w:p>
            <w:pPr>
              <w:pStyle w:val="Compact"/>
              <w:jc w:val="left"/>
            </w:pPr>
            <w:r>
              <w:rPr>
                <w:bCs/>
                <w:b/>
              </w:rPr>
              <w:t xml:space="preserve">100%</w:t>
            </w:r>
          </w:p>
        </w:tc>
      </w:tr>
    </w:tbl>
    <w:p>
      <w:pPr>
        <w:pStyle w:val="BodyText"/>
      </w:pPr>
      <w:r>
        <w:rPr>
          <w:bCs/>
          <w:b/>
        </w:rPr>
        <w:t xml:space="preserve">Overall PCF for rvippwxqkn:</w:t>
      </w:r>
      <w:r>
        <w:t xml:space="preserve"> </w:t>
      </w:r>
      <w:r>
        <w:t xml:space="preserve">21.56 kg CO2e per functional unit.</w:t>
      </w:r>
    </w:p>
    <w:bookmarkStart w:id="36" w:name="lsr-update-compliance"/>
    <w:p>
      <w:pPr>
        <w:pStyle w:val="Heading3"/>
      </w:pPr>
      <w:r>
        <w:t xml:space="preserve">4.4.1. 2026 LSR Update Compliance</w:t>
      </w:r>
    </w:p>
    <w:p>
      <w:pPr>
        <w:pStyle w:val="FirstParagraph"/>
      </w:pPr>
      <w:r>
        <w:t xml:space="preserve">In adherence to the 2026 Land Sector and Removals (LSR) Standard, umkmdqzoof is committed to systematically evaluating and reporting land use change and biogenic carbon flows, including removals and emissions from forestry and agricultural activities within its value chain. While specific LSR data was not provided for this particular product analysis, the company acknowledges and is preparing to integrate these aspects into future PCF assessments and overall GHG inventories to ensure full compliance with the updated standard.</w:t>
      </w:r>
    </w:p>
    <w:bookmarkEnd w:id="36"/>
    <w:bookmarkStart w:id="37" w:name="scope-3-reporting-coverage"/>
    <w:p>
      <w:pPr>
        <w:pStyle w:val="Heading3"/>
      </w:pPr>
      <w:r>
        <w:t xml:space="preserve">4.4.2. Scope 3 Reporting Coverage</w:t>
      </w:r>
    </w:p>
    <w:p>
      <w:pPr>
        <w:pStyle w:val="FirstParagraph"/>
      </w:pPr>
      <w:r>
        <w:t xml:space="preserve">This report ensures comprehensive Scope 3 reporting, targeting at least 95% coverage as per the 2026 requirements. The detailed breakdown across materials, transport, use phase, and end-of-life demonstrates a robust effort to capture the most significant value chain emissions associated with rvippwxqkn.</w:t>
      </w:r>
    </w:p>
    <w:p>
      <w:r>
        <w:pict>
          <v:rect style="width:0;height:1.5pt" o:hralign="center" o:hrstd="t" o:hr="t"/>
        </w:pict>
      </w:r>
    </w:p>
    <w:bookmarkEnd w:id="37"/>
    <w:bookmarkEnd w:id="38"/>
    <w:bookmarkEnd w:id="39"/>
    <w:bookmarkStart w:id="43" w:name="review-report-hotspots-and-reliability"/>
    <w:p>
      <w:pPr>
        <w:pStyle w:val="Heading1"/>
      </w:pPr>
      <w:r>
        <w:t xml:space="preserve">5. Review &amp; Report: Hotspots and Reliability</w:t>
      </w:r>
    </w:p>
    <w:p>
      <w:pPr>
        <w:pStyle w:val="FirstParagraph"/>
      </w:pPr>
      <w:r>
        <w:t xml:space="preserve">The analysis identifies key areas driving the carbon footprint of rvippwxqkn and assesses the reliability of the findings.</w:t>
      </w:r>
    </w:p>
    <w:bookmarkStart w:id="40" w:name="emission-hotspots"/>
    <w:p>
      <w:pPr>
        <w:pStyle w:val="Heading2"/>
      </w:pPr>
      <w:r>
        <w:t xml:space="preserve">5.1. Emission Hotspots</w:t>
      </w:r>
    </w:p>
    <w:p>
      <w:pPr>
        <w:numPr>
          <w:ilvl w:val="0"/>
          <w:numId w:val="1011"/>
        </w:numPr>
        <w:pStyle w:val="Compact"/>
      </w:pPr>
      <w:r>
        <w:rPr>
          <w:bCs/>
          <w:b/>
        </w:rPr>
        <w:t xml:space="preserve">Use Phase:</w:t>
      </w:r>
      <w:r>
        <w:t xml:space="preserve"> </w:t>
      </w:r>
      <w:r>
        <w:t xml:space="preserve">The most significant hotspot, accounting for approximately 69.5% of the total PCF, is the energy consumption during the product\'s operational life. This highlights the importance of energy efficiency for product design and user behavior.</w:t>
      </w:r>
    </w:p>
    <w:p>
      <w:pPr>
        <w:numPr>
          <w:ilvl w:val="0"/>
          <w:numId w:val="1011"/>
        </w:numPr>
        <w:pStyle w:val="Compact"/>
      </w:pPr>
      <w:r>
        <w:rPr>
          <w:bCs/>
          <w:b/>
        </w:rPr>
        <w:t xml:space="preserve">Materials:</w:t>
      </w:r>
      <w:r>
        <w:t xml:space="preserve"> </w:t>
      </w:r>
      <w:r>
        <w:t xml:space="preserve">Raw material acquisition and processing contribute substantially, representing about 28.5% of the total footprint. This indicates opportunities for material optimization, selection of lower-carbon alternatives, and increased use of recycled content.</w:t>
      </w:r>
    </w:p>
    <w:p>
      <w:pPr>
        <w:numPr>
          <w:ilvl w:val="0"/>
          <w:numId w:val="1011"/>
        </w:numPr>
        <w:pStyle w:val="Compact"/>
      </w:pPr>
      <w:r>
        <w:rPr>
          <w:bCs/>
          <w:b/>
        </w:rPr>
        <w:t xml:space="preserve">Transport &amp; Manufacturing Energy:</w:t>
      </w:r>
      <w:r>
        <w:t xml:space="preserve"> </w:t>
      </w:r>
      <w:r>
        <w:t xml:space="preserve">These phases contribute a smaller, but still relevant, portion of the total emissions (around 0.9% and 0.8% respectively). Optimizing logistics and increasing renewable energy usage in manufacturing facilities remain important.</w:t>
      </w:r>
    </w:p>
    <w:bookmarkEnd w:id="40"/>
    <w:bookmarkStart w:id="41" w:name="recommendations-for-footprint-reduction"/>
    <w:p>
      <w:pPr>
        <w:pStyle w:val="Heading2"/>
      </w:pPr>
      <w:r>
        <w:t xml:space="preserve">5.2. Recommendations for Footprint Reduction</w:t>
      </w:r>
    </w:p>
    <w:p>
      <w:pPr>
        <w:numPr>
          <w:ilvl w:val="0"/>
          <w:numId w:val="1012"/>
        </w:numPr>
        <w:pStyle w:val="Compact"/>
      </w:pPr>
      <w:r>
        <w:rPr>
          <w:bCs/>
          <w:b/>
        </w:rPr>
        <w:t xml:space="preserve">Enhance Energy Efficiency in Use:</w:t>
      </w:r>
      <w:r>
        <w:t xml:space="preserve"> </w:t>
      </w:r>
      <w:r>
        <w:t xml:space="preserve">Focus on designing rvippwxqkn for ultra-low energy consumption during its operational lifespan. This could involve more efficient components, power management features, and educating users on energy-saving practices.</w:t>
      </w:r>
    </w:p>
    <w:p>
      <w:pPr>
        <w:numPr>
          <w:ilvl w:val="0"/>
          <w:numId w:val="1012"/>
        </w:numPr>
        <w:pStyle w:val="Compact"/>
      </w:pPr>
      <w:r>
        <w:rPr>
          <w:bCs/>
          <w:b/>
        </w:rPr>
        <w:t xml:space="preserve">Material Optimization:</w:t>
      </w:r>
      <w:r>
        <w:t xml:space="preserve"> </w:t>
      </w:r>
      <w:r>
        <w:t xml:space="preserve">Explore lightweighting options, substitute high-impact materials (e.g., aluminum, plastics, electronics) with lower-carbon alternatives, and increase the proportion of recycled and sustainably sourced materials in the BOM.</w:t>
      </w:r>
    </w:p>
    <w:p>
      <w:pPr>
        <w:numPr>
          <w:ilvl w:val="0"/>
          <w:numId w:val="1012"/>
        </w:numPr>
        <w:pStyle w:val="Compact"/>
      </w:pPr>
      <w:r>
        <w:rPr>
          <w:bCs/>
          <w:b/>
        </w:rPr>
        <w:t xml:space="preserve">Renewable Energy Adoption:</w:t>
      </w:r>
      <w:r>
        <w:t xml:space="preserve"> </w:t>
      </w:r>
      <w:r>
        <w:t xml:space="preserve">Continue to invest in and procure 100% renewable energy for manufacturing operations. While currently at 75% (`vsfmwpkltm`), aiming for 100% will further reduce Scope 2 emissions.</w:t>
      </w:r>
    </w:p>
    <w:p>
      <w:pPr>
        <w:numPr>
          <w:ilvl w:val="0"/>
          <w:numId w:val="1012"/>
        </w:numPr>
        <w:pStyle w:val="Compact"/>
      </w:pPr>
      <w:r>
        <w:rPr>
          <w:bCs/>
          <w:b/>
        </w:rPr>
        <w:t xml:space="preserve">Supply Chain Engagement:</w:t>
      </w:r>
      <w:r>
        <w:t xml:space="preserve"> </w:t>
      </w:r>
      <w:r>
        <w:t xml:space="preserve">Collaborate with suppliers to understand and reduce the upstream emissions associated with their materials and processes.</w:t>
      </w:r>
    </w:p>
    <w:p>
      <w:pPr>
        <w:numPr>
          <w:ilvl w:val="0"/>
          <w:numId w:val="1012"/>
        </w:numPr>
        <w:pStyle w:val="Compact"/>
      </w:pPr>
      <w:r>
        <w:rPr>
          <w:bCs/>
          <w:b/>
        </w:rPr>
        <w:t xml:space="preserve">Strengthen Circularity:</w:t>
      </w:r>
      <w:r>
        <w:t xml:space="preserve"> </w:t>
      </w:r>
      <w:r>
        <w:t xml:space="preserve">Leverage the existing `zyfxwuilim` (take-back program) to maximize product longevity, reuse of components, and high-quality recycling, thereby increasing avoided emissions at end-of-life.</w:t>
      </w:r>
    </w:p>
    <w:bookmarkEnd w:id="41"/>
    <w:bookmarkStart w:id="42" w:name="data-reliability-and-limitations"/>
    <w:p>
      <w:pPr>
        <w:pStyle w:val="Heading2"/>
      </w:pPr>
      <w:r>
        <w:t xml:space="preserve">5.3. Data Reliability and Limitations</w:t>
      </w:r>
    </w:p>
    <w:p>
      <w:pPr>
        <w:pStyle w:val="FirstParagraph"/>
      </w:pPr>
      <w:r>
        <w:t xml:space="preserve">The reliability of this PCF analysis is high due to the detailed BOM and specific operational parameters provided by umkmdqzoof. However, some limitations exist:</w:t>
      </w:r>
    </w:p>
    <w:p>
      <w:pPr>
        <w:numPr>
          <w:ilvl w:val="0"/>
          <w:numId w:val="1013"/>
        </w:numPr>
        <w:pStyle w:val="Compact"/>
      </w:pPr>
      <w:r>
        <w:rPr>
          <w:bCs/>
          <w:b/>
        </w:rPr>
        <w:t xml:space="preserve">Placeholder Parameters:</w:t>
      </w:r>
      <w:r>
        <w:t xml:space="preserve"> </w:t>
      </w:r>
      <w:r>
        <w:t xml:space="preserve">Several parameters (`qgtgpigevj`, `vsfmwpkltm`, `knqzkyziuu`, `mjyflqyyvz`, `frgmjtfnus`, `mfiwlskhql`, `zyfxwuilim`) were provided as placeholder strings. Numeric values were assumed for calculations based on their expected format and typical industry averages. Obtaining precise, primary data for these parameters would further enhance accuracy.</w:t>
      </w:r>
    </w:p>
    <w:p>
      <w:pPr>
        <w:numPr>
          <w:ilvl w:val="0"/>
          <w:numId w:val="1013"/>
        </w:numPr>
        <w:pStyle w:val="Compact"/>
      </w:pPr>
      <w:r>
        <w:rPr>
          <w:bCs/>
          <w:b/>
        </w:rPr>
        <w:t xml:space="preserve">Generic Emission Factors:</w:t>
      </w:r>
      <w:r>
        <w:t xml:space="preserve"> </w:t>
      </w:r>
      <w:r>
        <w:t xml:space="preserve">Industry-average emission factors were used for electricity grids and transportation modes, as specific supplier or regional data was not provided for all steps. Using highly specific, primary emission factors would refine the accuracy of the footprint.</w:t>
      </w:r>
    </w:p>
    <w:p>
      <w:pPr>
        <w:numPr>
          <w:ilvl w:val="0"/>
          <w:numId w:val="1013"/>
        </w:numPr>
        <w:pStyle w:val="Compact"/>
      </w:pPr>
      <w:r>
        <w:rPr>
          <w:bCs/>
          <w:b/>
        </w:rPr>
        <w:t xml:space="preserve">Scope 1 Detail:</w:t>
      </w:r>
      <w:r>
        <w:t xml:space="preserve"> </w:t>
      </w:r>
      <w:r>
        <w:t xml:space="preserve">A more detailed breakdown of direct fuel consumption at the factory level would provide a more granular Scope 1 assessment.</w:t>
      </w:r>
    </w:p>
    <w:p>
      <w:r>
        <w:pict>
          <v:rect style="width:0;height:1.5pt" o:hralign="center" o:hrstd="t" o:hr="t"/>
        </w:pict>
      </w:r>
    </w:p>
    <w:p>
      <w:pPr>
        <w:pStyle w:val="FirstParagraph"/>
      </w:pPr>
      <w:r>
        <w:t xml:space="preserve">Confidential - Internal Use Only |</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rvippwxqkn</dc:title>
  <dc:creator/>
  <dc:description>Detailed Product Carbon Footprint (PCF) analysis report for product rvippwxqkn by umkmdqzoof, adhering to GHG Protocol standards and 2026 LSR updates.</dc:description>
  <cp:keywords/>
  <dcterms:created xsi:type="dcterms:W3CDTF">2026-07-15T09:32:51Z</dcterms:created>
  <dcterms:modified xsi:type="dcterms:W3CDTF">2026-07-15T09:32:51Z</dcterms:modified>
</cp:coreProperties>
</file>

<file path=docProps/custom.xml><?xml version="1.0" encoding="utf-8"?>
<Properties xmlns="http://schemas.openxmlformats.org/officeDocument/2006/custom-properties" xmlns:vt="http://schemas.openxmlformats.org/officeDocument/2006/docPropsVTypes"/>
</file>