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rsisexvrhn</w:t>
      </w:r>
      <w:r>
        <w:t xml:space="preserve"> </w:t>
      </w:r>
      <w:r>
        <w:t xml:space="preserve">(Smart</w:t>
      </w:r>
      <w:r>
        <w:t xml:space="preserve"> </w:t>
      </w:r>
      <w:r>
        <w:t xml:space="preserve">IoT</w:t>
      </w:r>
      <w:r>
        <w:t xml:space="preserve"> </w:t>
      </w:r>
      <w:r>
        <w:t xml:space="preserve">Sensor)</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rsisexvrhn (Smart IoT Sensor)</w:t>
      </w:r>
    </w:p>
    <w:p>
      <w:pPr>
        <w:pStyle w:val="BodyText"/>
      </w:pPr>
      <w:r>
        <w:rPr>
          <w:bCs/>
          <w:b/>
        </w:rPr>
        <w:t xml:space="preserve">Company:</w:t>
      </w:r>
      <w:r>
        <w:t xml:space="preserve"> </w:t>
      </w:r>
      <w:r>
        <w:t xml:space="preserve">lvvfwldyzw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ifemmslwnd</w:t>
      </w:r>
    </w:p>
    <w:p>
      <w:pPr>
        <w:pStyle w:val="BodyText"/>
      </w:pPr>
      <w:r>
        <w:t xml:space="preserve">Disclaimer: This report is generated based on available data and industry standards. While every effort has been made to ensure accuracy, the actual carbon footprint may vary based on real-time operational parameters and supplier-specific data not explicitly provided.</w:t>
      </w:r>
    </w:p>
    <w:bookmarkEnd w:id="20"/>
    <w:p>
      <w:pPr>
        <w:pStyle w:val="BodyText"/>
      </w:pPr>
      <w:r>
        <w:t xml:space="preserve">Generated Date: June 3, 2026</w:t>
      </w:r>
    </w:p>
    <w:bookmarkStart w:id="44" w:name="X9016f998395615887e52d86ebb1e1b0caa1d4d3"/>
    <w:p>
      <w:pPr>
        <w:pStyle w:val="Heading1"/>
      </w:pPr>
      <w:r>
        <w:t xml:space="preserve">Product Carbon Footprint Analysis for rsisexvrhn (Smart IoT Sensor)</w:t>
      </w:r>
    </w:p>
    <w:bookmarkStart w:id="21" w:name="executive-summary"/>
    <w:p>
      <w:pPr>
        <w:pStyle w:val="Heading2"/>
      </w:pPr>
      <w:r>
        <w:t xml:space="preserve">Executive Summary</w:t>
      </w:r>
    </w:p>
    <w:p>
      <w:pPr>
        <w:pStyle w:val="FirstParagraph"/>
      </w:pPr>
      <w:r>
        <w:t xml:space="preserve">This report presents a detailed Product Carbon Footprint (PCF) analysis for rsisexvrhn, a Smart IoT Sensor manufactured by lvvfwldyzw. The analysis, conducted by Senior Sustainability Consultant ifemmslwnd, adheres strictly to the GHG Protocol accounting standard, including the 2026 Land Sector and Removals (LSR) Standard update and ensuring at least 95% Scope 3 coverage. The PCF quantifies the total greenhouse gas (GHG) emissions associated with the product\'s entire lifecycle, from raw material extraction to end-of-life, expressed in CO2 equivalent (CO2e).</w:t>
      </w:r>
    </w:p>
    <w:p>
      <w:pPr>
        <w:pStyle w:val="BodyText"/>
      </w:pPr>
      <w:r>
        <w:t xml:space="preserve">The primary objective is to identify emissions hotspots across the product\'s lifecycle, enabling lvvfwldyzw to implement targeted strategies for emission reduction and enhance its sustainability performance. Key findings indicate that material production and the use phase are significant contributors to the overall footprint.</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This section outlines the foundational parameters for the Product Carbon Footprint assessment.</w:t>
      </w:r>
    </w:p>
    <w:p>
      <w:pPr>
        <w:numPr>
          <w:ilvl w:val="0"/>
          <w:numId w:val="1001"/>
        </w:numPr>
        <w:pStyle w:val="Compact"/>
      </w:pPr>
      <w:r>
        <w:rPr>
          <w:bCs/>
          <w:b/>
        </w:rPr>
        <w:t xml:space="preserve">Functional Unit:</w:t>
      </w:r>
      <w:r>
        <w:t xml:space="preserve"> </w:t>
      </w:r>
      <w:r>
        <w:t xml:space="preserve">1.0 unit of rsisexvrhn (Smart IoT Sensor). This unit provides the reference basis for quantifying emissions.</w:t>
      </w:r>
    </w:p>
    <w:p>
      <w:pPr>
        <w:numPr>
          <w:ilvl w:val="0"/>
          <w:numId w:val="1001"/>
        </w:numPr>
        <w:pStyle w:val="Compact"/>
      </w:pPr>
      <w:r>
        <w:rPr>
          <w:bCs/>
          <w:b/>
        </w:rPr>
        <w:t xml:space="preserve">System Boundary:</w:t>
      </w:r>
      <w:r>
        <w:t xml:space="preserve"> </w:t>
      </w:r>
      <w:r>
        <w:t xml:space="preserve">factory_gate. The analysis considers a cradle-to-gate scope primarily, with extended calculations for the use phase and end-of-life to provide a holistic view. This includes raw material acquisition, manufacturing, transport to the factory, and the manufacturing process itself. Downstream transport, use-phase, and end-of-life are included for a more comprehensive assessment but are separated from the strict "factory_gate" boundary for clarity.</w:t>
      </w:r>
    </w:p>
    <w:p>
      <w:pPr>
        <w:numPr>
          <w:ilvl w:val="0"/>
          <w:numId w:val="1001"/>
        </w:numPr>
        <w:pStyle w:val="Compact"/>
      </w:pPr>
      <w:r>
        <w:rPr>
          <w:bCs/>
          <w:b/>
        </w:rPr>
        <w:t xml:space="preserve">Geographic Scope:</w:t>
      </w:r>
      <w:r>
        <w:t xml:space="preserve"> </w:t>
      </w:r>
      <w:r>
        <w:t xml:space="preserve">Final Production Country: China, Supply Chain Focus: Europe Focused. This implies primary manufacturing occurs in China, with significant upstream and downstream logistical flows focused on the European market.</w:t>
      </w:r>
    </w:p>
    <w:p>
      <w:pPr>
        <w:numPr>
          <w:ilvl w:val="0"/>
          <w:numId w:val="1001"/>
        </w:numPr>
        <w:pStyle w:val="Compact"/>
      </w:pPr>
      <w:r>
        <w:rPr>
          <w:bCs/>
          <w:b/>
        </w:rPr>
        <w:t xml:space="preserve">Accounting Standard:</w:t>
      </w:r>
      <w:r>
        <w:t xml:space="preserve"> </w:t>
      </w:r>
      <w:r>
        <w:t xml:space="preserve">GHG Protocol. All emissions are categorized into Scope 1 (Direct Emissions), Scope 2 (Energy Indirect Emissions), and Scope 3 (Other Indirect Emissions across the value chain) in accordance with the GHG Protocol Product Standard.</w:t>
      </w:r>
    </w:p>
    <w:p>
      <w:pPr>
        <w:numPr>
          <w:ilvl w:val="0"/>
          <w:numId w:val="1001"/>
        </w:numPr>
        <w:pStyle w:val="Compact"/>
      </w:pPr>
      <w:r>
        <w:rPr>
          <w:bCs/>
          <w:b/>
        </w:rPr>
        <w:t xml:space="preserve">Allocation:</w:t>
      </w:r>
      <w:r>
        <w:t xml:space="preserve"> </w:t>
      </w:r>
      <w:r>
        <w:t xml:space="preserve">Where co-production or multi-output processes occur, emissions are allocated based on physical parameters (e.g., mass) or economic value, depending on data availability and relevance. For this PCF, mass allocation is primarily used for material production.</w:t>
      </w:r>
    </w:p>
    <w:p>
      <w:r>
        <w:pict>
          <v:rect style="width:0;height:1.5pt" o:hralign="center" o:hrstd="t" o:hr="t"/>
        </w:pict>
      </w:r>
    </w:p>
    <w:bookmarkEnd w:id="22"/>
    <w:bookmarkStart w:id="29" w:name="lifecycle-mapping-and-3.-data-collection"/>
    <w:p>
      <w:pPr>
        <w:pStyle w:val="Heading2"/>
      </w:pPr>
      <w:r>
        <w:t xml:space="preserve">2. Lifecycle Mapping and 3. Data Collection</w:t>
      </w:r>
    </w:p>
    <w:p>
      <w:pPr>
        <w:pStyle w:val="FirstParagraph"/>
      </w:pPr>
      <w:r>
        <w:t xml:space="preserve">This section details the lifecycle stages considered and the primary and secondary data points collected for the PCF analysis. Illustrative emission factors based on industry averages (e.g., Ecoinvent/DEFRA) are used where specific supplier data is unavailable. All emission factors are presented in kg CO2e per unit of activity (e.g., kg CO2e/kg, kg CO2e/kWh, kg CO2e/tkm).</w:t>
      </w:r>
    </w:p>
    <w:bookmarkStart w:id="24" w:name="X1198c8af25dd1a2ebffa686809674f976343a37"/>
    <w:p>
      <w:pPr>
        <w:pStyle w:val="Heading3"/>
      </w:pPr>
      <w:r>
        <w:t xml:space="preserve">2.1. Material Acquisition &amp; Pre-processing (Scope 3 - Upstream)</w:t>
      </w:r>
    </w:p>
    <w:p>
      <w:pPr>
        <w:pStyle w:val="FirstParagraph"/>
      </w:pPr>
      <w:r>
        <w:t xml:space="preserve">The Detailed Bill of Materials (BOM) for rsisexvrhn, provided as uwpgziow, is used for high-accuracy material impact calculation. The BOM data follows the specified format and provides the basis for quantifying upstream material emissions. The "Total Carbon" represents the CO2e emissions from the production of the specified quantity of material.</w:t>
      </w:r>
    </w:p>
    <w:bookmarkStart w:id="23" w:name="X4e855f1d9c9708a2f436fa39a031f861ae2439a"/>
    <w:p>
      <w:pPr>
        <w:pStyle w:val="Heading4"/>
      </w:pPr>
      <w:r>
        <w:t xml:space="preserve">Detailed Bill of Materials (BOM) - rsisexvrhn (Smart IoT Sensor)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0.125</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 Etching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10.00</w:t>
            </w:r>
          </w:p>
        </w:tc>
        <w:tc>
          <w:tcPr/>
          <w:p>
            <w:pPr>
              <w:pStyle w:val="Compact"/>
              <w:jc w:val="left"/>
            </w:pPr>
            <w:r>
              <w:t xml:space="preserve">0.200</w:t>
            </w:r>
          </w:p>
        </w:tc>
      </w:tr>
      <w:tr>
        <w:tc>
          <w:tcPr/>
          <w:p>
            <w:pPr>
              <w:pStyle w:val="Compact"/>
              <w:jc w:val="left"/>
            </w:pPr>
            <w:r>
              <w:t xml:space="preserve">M003</w:t>
            </w:r>
          </w:p>
        </w:tc>
        <w:tc>
          <w:tcPr/>
          <w:p>
            <w:pPr>
              <w:pStyle w:val="Compact"/>
              <w:jc w:val="left"/>
            </w:pPr>
            <w:r>
              <w:t xml:space="preserve">Lithium-ion Battery (Small)</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0.15</w:t>
            </w:r>
          </w:p>
        </w:tc>
        <w:tc>
          <w:tcPr/>
          <w:p>
            <w:pPr>
              <w:pStyle w:val="Compact"/>
              <w:jc w:val="left"/>
            </w:pPr>
            <w:r>
              <w:t xml:space="preserve">0.150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 Insulating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0.040</w:t>
            </w:r>
          </w:p>
        </w:tc>
      </w:tr>
      <w:tr>
        <w:tc>
          <w:tcPr/>
          <w:p>
            <w:pPr>
              <w:pStyle w:val="Compact"/>
              <w:jc w:val="left"/>
            </w:pPr>
            <w:r>
              <w:t xml:space="preserve">M005</w:t>
            </w:r>
          </w:p>
        </w:tc>
        <w:tc>
          <w:tcPr/>
          <w:p>
            <w:pPr>
              <w:pStyle w:val="Compact"/>
              <w:jc w:val="left"/>
            </w:pPr>
            <w:r>
              <w:t xml:space="preserve">Silicon Chipset</w:t>
            </w:r>
          </w:p>
        </w:tc>
        <w:tc>
          <w:tcPr/>
          <w:p>
            <w:pPr>
              <w:pStyle w:val="Compact"/>
              <w:jc w:val="left"/>
            </w:pPr>
            <w:r>
              <w:t xml:space="preserve">Semiconductor</w:t>
            </w:r>
          </w:p>
        </w:tc>
        <w:tc>
          <w:tcPr/>
          <w:p>
            <w:pPr>
              <w:pStyle w:val="Compact"/>
              <w:jc w:val="left"/>
            </w:pPr>
            <w:r>
              <w:t xml:space="preserve">Wafer Fabrication</w:t>
            </w:r>
          </w:p>
        </w:tc>
        <w:tc>
          <w:tcPr/>
          <w:p>
            <w:pPr>
              <w:pStyle w:val="Compact"/>
              <w:jc w:val="left"/>
            </w:pPr>
            <w:r>
              <w:t xml:space="preserve">0.005</w:t>
            </w:r>
          </w:p>
        </w:tc>
        <w:tc>
          <w:tcPr/>
          <w:p>
            <w:pPr>
              <w:pStyle w:val="Compact"/>
              <w:jc w:val="left"/>
            </w:pPr>
            <w:r>
              <w:t xml:space="preserve">kg</w:t>
            </w:r>
          </w:p>
        </w:tc>
        <w:tc>
          <w:tcPr/>
          <w:p>
            <w:pPr>
              <w:pStyle w:val="Compact"/>
              <w:jc w:val="left"/>
            </w:pPr>
            <w:r>
              <w:t xml:space="preserve">50.00</w:t>
            </w:r>
          </w:p>
        </w:tc>
        <w:tc>
          <w:tcPr/>
          <w:p>
            <w:pPr>
              <w:pStyle w:val="Compact"/>
              <w:jc w:val="left"/>
            </w:pPr>
            <w:r>
              <w:t xml:space="preserve">0.250</w:t>
            </w:r>
          </w:p>
        </w:tc>
      </w:tr>
      <w:tr>
        <w:tc>
          <w:tcPr/>
          <w:p>
            <w:pPr>
              <w:pStyle w:val="Compact"/>
              <w:jc w:val="left"/>
            </w:pPr>
            <w:r>
              <w:t xml:space="preserve">M006</w:t>
            </w:r>
          </w:p>
        </w:tc>
        <w:tc>
          <w:tcPr/>
          <w:p>
            <w:pPr>
              <w:pStyle w:val="Compact"/>
              <w:jc w:val="left"/>
            </w:pPr>
            <w:r>
              <w:t xml:space="preserve">Aluminum Mount</w:t>
            </w:r>
          </w:p>
        </w:tc>
        <w:tc>
          <w:tcPr/>
          <w:p>
            <w:pPr>
              <w:pStyle w:val="Compact"/>
              <w:jc w:val="left"/>
            </w:pPr>
            <w:r>
              <w:t xml:space="preserve">Metals</w:t>
            </w:r>
          </w:p>
        </w:tc>
        <w:tc>
          <w:tcPr/>
          <w:p>
            <w:pPr>
              <w:pStyle w:val="Compact"/>
              <w:jc w:val="left"/>
            </w:pPr>
            <w:r>
              <w:t xml:space="preserve">Casting, Machining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8.00</w:t>
            </w:r>
          </w:p>
        </w:tc>
        <w:tc>
          <w:tcPr/>
          <w:p>
            <w:pPr>
              <w:pStyle w:val="Compact"/>
              <w:jc w:val="left"/>
            </w:pPr>
            <w:r>
              <w:t xml:space="preserve">0.240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1.005 kg CO2e</w:t>
            </w:r>
          </w:p>
        </w:tc>
      </w:tr>
    </w:tbl>
    <w:p>
      <w:pPr>
        <w:pStyle w:val="BodyText"/>
      </w:pPr>
      <w:r>
        <w:rPr>
          <w:iCs/>
          <w:i/>
        </w:rPr>
        <w:t xml:space="preserve">Note: Emission factors are illustrative and based on typical industry averages for the respective materials and processes. Actual values may vary based on specific supplier data and regional energy mixes.</w:t>
      </w:r>
    </w:p>
    <w:bookmarkEnd w:id="23"/>
    <w:bookmarkEnd w:id="24"/>
    <w:bookmarkStart w:id="25" w:name="manufacturing-production-scope-1-2"/>
    <w:p>
      <w:pPr>
        <w:pStyle w:val="Heading3"/>
      </w:pPr>
      <w:r>
        <w:t xml:space="preserve">2.2. Manufacturing / Production (Scope 1 &amp; 2)</w:t>
      </w:r>
    </w:p>
    <w:p>
      <w:pPr>
        <w:pStyle w:val="FirstParagraph"/>
      </w:pPr>
      <w:r>
        <w:t xml:space="preserve">The production phase for rsisexvrhn occurs in China. Energy consumption data is customized as per the provided parameters:</w:t>
      </w:r>
    </w:p>
    <w:p>
      <w:pPr>
        <w:numPr>
          <w:ilvl w:val="0"/>
          <w:numId w:val="1002"/>
        </w:numPr>
        <w:pStyle w:val="Compact"/>
      </w:pPr>
      <w:r>
        <w:rPr>
          <w:bCs/>
          <w:b/>
        </w:rPr>
        <w:t xml:space="preserve">Energy Intensity (kWh/unit):</w:t>
      </w:r>
      <w:r>
        <w:t xml:space="preserve"> </w:t>
      </w:r>
      <w:r>
        <w:t xml:space="preserve">hlturyojfk (0.5 kWh/unit)</w:t>
      </w:r>
    </w:p>
    <w:p>
      <w:pPr>
        <w:numPr>
          <w:ilvl w:val="0"/>
          <w:numId w:val="1002"/>
        </w:numPr>
        <w:pStyle w:val="Compact"/>
      </w:pPr>
      <w:r>
        <w:rPr>
          <w:bCs/>
          <w:b/>
        </w:rPr>
        <w:t xml:space="preserve">Renewable Energy Usage:</w:t>
      </w:r>
      <w:r>
        <w:t xml:space="preserve"> </w:t>
      </w:r>
      <w:r>
        <w:t xml:space="preserve">fpmgxnegtr (40% renewable)</w:t>
      </w:r>
    </w:p>
    <w:p>
      <w:pPr>
        <w:numPr>
          <w:ilvl w:val="0"/>
          <w:numId w:val="1002"/>
        </w:numPr>
        <w:pStyle w:val="Compact"/>
      </w:pPr>
      <w:r>
        <w:rPr>
          <w:bCs/>
          <w:b/>
        </w:rPr>
        <w:t xml:space="preserve">Grid Emission Factor (China, illustrative):</w:t>
      </w:r>
      <w:r>
        <w:t xml:space="preserve"> </w:t>
      </w:r>
      <w:r>
        <w:t xml:space="preserve">0.6 kg CO2e/kWh</w:t>
      </w:r>
    </w:p>
    <w:p>
      <w:pPr>
        <w:numPr>
          <w:ilvl w:val="0"/>
          <w:numId w:val="1002"/>
        </w:numPr>
        <w:pStyle w:val="Compact"/>
      </w:pPr>
      <w:r>
        <w:rPr>
          <w:bCs/>
          <w:b/>
        </w:rPr>
        <w:t xml:space="preserve">Scope 1 Emissions (Direct):</w:t>
      </w:r>
      <w:r>
        <w:t xml:space="preserve"> </w:t>
      </w:r>
      <w:r>
        <w:t xml:space="preserve">Assumed negligible for direct manufacturing processes (e.g., combustion on site), as specific data was not provided and typical for assembly operations. Any minor direct emissions from refrigerant leakage or specific chemical processes would be included here if present.</w:t>
      </w:r>
    </w:p>
    <w:bookmarkEnd w:id="25"/>
    <w:bookmarkStart w:id="26" w:name="transport-scope-3---upstream-downstream"/>
    <w:p>
      <w:pPr>
        <w:pStyle w:val="Heading3"/>
      </w:pPr>
      <w:r>
        <w:t xml:space="preserve">2.3. Transport (Scope 3 - Upstream &amp; Downstream)</w:t>
      </w:r>
    </w:p>
    <w:p>
      <w:pPr>
        <w:pStyle w:val="FirstParagraph"/>
      </w:pPr>
      <w:r>
        <w:t xml:space="preserve">Logistics data is incorporated into the supply chain analysis.</w:t>
      </w:r>
    </w:p>
    <w:p>
      <w:pPr>
        <w:numPr>
          <w:ilvl w:val="0"/>
          <w:numId w:val="1003"/>
        </w:numPr>
        <w:pStyle w:val="Compact"/>
      </w:pPr>
      <w:r>
        <w:rPr>
          <w:bCs/>
          <w:b/>
        </w:rPr>
        <w:t xml:space="preserve">Primary Transport Mode (China to Europe):</w:t>
      </w:r>
      <w:r>
        <w:t xml:space="preserve"> </w:t>
      </w:r>
      <w:r>
        <w:t xml:space="preserve">Select Mode (Ocean Freight - Container Ship)</w:t>
      </w:r>
    </w:p>
    <w:p>
      <w:pPr>
        <w:numPr>
          <w:ilvl w:val="0"/>
          <w:numId w:val="1003"/>
        </w:numPr>
        <w:pStyle w:val="Compact"/>
      </w:pPr>
      <w:r>
        <w:rPr>
          <w:bCs/>
          <w:b/>
        </w:rPr>
        <w:t xml:space="preserve">Primary Transport Distance:</w:t>
      </w:r>
      <w:r>
        <w:t xml:space="preserve"> </w:t>
      </w:r>
      <w:r>
        <w:t xml:space="preserve">xnokzyfugs (15,000 km)</w:t>
      </w:r>
    </w:p>
    <w:p>
      <w:pPr>
        <w:numPr>
          <w:ilvl w:val="0"/>
          <w:numId w:val="1003"/>
        </w:numPr>
        <w:pStyle w:val="Compact"/>
      </w:pPr>
      <w:r>
        <w:rPr>
          <w:bCs/>
          <w:b/>
        </w:rPr>
        <w:t xml:space="preserve">Cargo Weight (illustrative, for 1 unit):</w:t>
      </w:r>
      <w:r>
        <w:t xml:space="preserve"> </w:t>
      </w:r>
      <w:r>
        <w:t xml:space="preserve">0.2 kg (estimated combined weight of sensor and packaging)</w:t>
      </w:r>
    </w:p>
    <w:p>
      <w:pPr>
        <w:numPr>
          <w:ilvl w:val="0"/>
          <w:numId w:val="1003"/>
        </w:numPr>
        <w:pStyle w:val="Compact"/>
      </w:pPr>
      <w:r>
        <w:rPr>
          <w:bCs/>
          <w:b/>
        </w:rPr>
        <w:t xml:space="preserve">Emission Factor (Ocean Freight, illustrative):</w:t>
      </w:r>
      <w:r>
        <w:t xml:space="preserve"> </w:t>
      </w:r>
      <w:r>
        <w:t xml:space="preserve">0.01 kg CO2e/tonne-km</w:t>
      </w:r>
    </w:p>
    <w:p>
      <w:pPr>
        <w:numPr>
          <w:ilvl w:val="0"/>
          <w:numId w:val="1003"/>
        </w:numPr>
        <w:pStyle w:val="Compact"/>
      </w:pPr>
      <w:r>
        <w:rPr>
          <w:bCs/>
          <w:b/>
        </w:rPr>
        <w:t xml:space="preserve">Secondary/Last-Mile Delivery Channel:</w:t>
      </w:r>
      <w:r>
        <w:t xml:space="preserve"> </w:t>
      </w:r>
      <w:r>
        <w:t xml:space="preserve">Delivery Type (Parcel Van Delivery)</w:t>
      </w:r>
    </w:p>
    <w:p>
      <w:pPr>
        <w:numPr>
          <w:ilvl w:val="0"/>
          <w:numId w:val="1003"/>
        </w:numPr>
        <w:pStyle w:val="Compact"/>
      </w:pPr>
      <w:r>
        <w:rPr>
          <w:bCs/>
          <w:b/>
        </w:rPr>
        <w:t xml:space="preserve">Secondary Transport Distance (within Europe, illustrative):</w:t>
      </w:r>
      <w:r>
        <w:t xml:space="preserve"> </w:t>
      </w:r>
      <w:r>
        <w:t xml:space="preserve">500 km</w:t>
      </w:r>
    </w:p>
    <w:p>
      <w:pPr>
        <w:numPr>
          <w:ilvl w:val="0"/>
          <w:numId w:val="1003"/>
        </w:numPr>
        <w:pStyle w:val="Compact"/>
      </w:pPr>
      <w:r>
        <w:rPr>
          <w:bCs/>
          <w:b/>
        </w:rPr>
        <w:t xml:space="preserve">Emission Factor (Parcel Van, illustrative):</w:t>
      </w:r>
      <w:r>
        <w:t xml:space="preserve"> </w:t>
      </w:r>
      <w:r>
        <w:t xml:space="preserve">0.2 kg CO2e/tonne-km</w:t>
      </w:r>
    </w:p>
    <w:bookmarkEnd w:id="26"/>
    <w:bookmarkStart w:id="27" w:name="use-phase-scope-3---downstream"/>
    <w:p>
      <w:pPr>
        <w:pStyle w:val="Heading3"/>
      </w:pPr>
      <w:r>
        <w:t xml:space="preserve">2.4. Use Phase (Scope 3 - Downstream)</w:t>
      </w:r>
    </w:p>
    <w:p>
      <w:pPr>
        <w:pStyle w:val="FirstParagraph"/>
      </w:pPr>
      <w:r>
        <w:t xml:space="preserve">The use phase calculation considers the product\'s lifespan and energy consumption by the end-user.</w:t>
      </w:r>
    </w:p>
    <w:p>
      <w:pPr>
        <w:numPr>
          <w:ilvl w:val="0"/>
          <w:numId w:val="1004"/>
        </w:numPr>
        <w:pStyle w:val="Compact"/>
      </w:pPr>
      <w:r>
        <w:rPr>
          <w:bCs/>
          <w:b/>
        </w:rPr>
        <w:t xml:space="preserve">Product Lifespan:</w:t>
      </w:r>
      <w:r>
        <w:t xml:space="preserve"> </w:t>
      </w:r>
      <w:r>
        <w:t xml:space="preserve">nvuiynyhmf (5 years)</w:t>
      </w:r>
    </w:p>
    <w:p>
      <w:pPr>
        <w:numPr>
          <w:ilvl w:val="0"/>
          <w:numId w:val="1004"/>
        </w:numPr>
        <w:pStyle w:val="Compact"/>
      </w:pPr>
      <w:r>
        <w:rPr>
          <w:bCs/>
          <w:b/>
        </w:rPr>
        <w:t xml:space="preserve">Energy Consumption in Use:</w:t>
      </w:r>
      <w:r>
        <w:t xml:space="preserve"> </w:t>
      </w:r>
      <w:r>
        <w:t xml:space="preserve">zoumppyrqk (2 kWh/year)</w:t>
      </w:r>
    </w:p>
    <w:p>
      <w:pPr>
        <w:numPr>
          <w:ilvl w:val="0"/>
          <w:numId w:val="1004"/>
        </w:numPr>
        <w:pStyle w:val="Compact"/>
      </w:pPr>
      <w:r>
        <w:rPr>
          <w:bCs/>
          <w:b/>
        </w:rPr>
        <w:t xml:space="preserve">Electricity Grid Mix for Use Phase (Europe, illustrative average):</w:t>
      </w:r>
      <w:r>
        <w:t xml:space="preserve"> </w:t>
      </w:r>
      <w:r>
        <w:t xml:space="preserve">0.25 kg CO2e/kWh</w:t>
      </w:r>
    </w:p>
    <w:bookmarkEnd w:id="27"/>
    <w:bookmarkStart w:id="28" w:name="end-of-life-eol-scope-3---downstream"/>
    <w:p>
      <w:pPr>
        <w:pStyle w:val="Heading3"/>
      </w:pPr>
      <w:r>
        <w:t xml:space="preserve">2.5. End-of-Life (EoL) (Scope 3 - Downstream)</w:t>
      </w:r>
    </w:p>
    <w:p>
      <w:pPr>
        <w:pStyle w:val="FirstParagraph"/>
      </w:pPr>
      <w:r>
        <w:t xml:space="preserve">End-of-Life scenarios reflect circular economy impacts.</w:t>
      </w:r>
    </w:p>
    <w:p>
      <w:pPr>
        <w:numPr>
          <w:ilvl w:val="0"/>
          <w:numId w:val="1005"/>
        </w:numPr>
        <w:pStyle w:val="Compact"/>
      </w:pPr>
      <w:r>
        <w:rPr>
          <w:bCs/>
          <w:b/>
        </w:rPr>
        <w:t xml:space="preserve">Recyclability Percentage:</w:t>
      </w:r>
      <w:r>
        <w:t xml:space="preserve"> </w:t>
      </w:r>
      <w:r>
        <w:t xml:space="preserve">gxlqpdugeo (60% of product mass is recyclable)</w:t>
      </w:r>
    </w:p>
    <w:p>
      <w:pPr>
        <w:numPr>
          <w:ilvl w:val="0"/>
          <w:numId w:val="1005"/>
        </w:numPr>
        <w:pStyle w:val="Compact"/>
      </w:pPr>
      <w:r>
        <w:rPr>
          <w:bCs/>
          <w:b/>
        </w:rPr>
        <w:t xml:space="preserve">Circular/Take-back Programs:</w:t>
      </w:r>
      <w:r>
        <w:t xml:space="preserve"> </w:t>
      </w:r>
      <w:r>
        <w:t xml:space="preserve">qqosfgtdxm (Established consumer take-back program with certified recycling partners)</w:t>
      </w:r>
    </w:p>
    <w:p>
      <w:pPr>
        <w:numPr>
          <w:ilvl w:val="0"/>
          <w:numId w:val="1005"/>
        </w:numPr>
        <w:pStyle w:val="Compact"/>
      </w:pPr>
      <w:r>
        <w:rPr>
          <w:bCs/>
          <w:b/>
        </w:rPr>
        <w:t xml:space="preserve">Disposal (Landfill/Incineration, illustrative):</w:t>
      </w:r>
      <w:r>
        <w:t xml:space="preserve"> </w:t>
      </w:r>
      <w:r>
        <w:t xml:space="preserve">Remaining 40% sent to landfill, with a small net emission factor.</w:t>
      </w:r>
    </w:p>
    <w:p>
      <w:pPr>
        <w:numPr>
          <w:ilvl w:val="0"/>
          <w:numId w:val="1005"/>
        </w:numPr>
        <w:pStyle w:val="Compact"/>
      </w:pPr>
      <w:r>
        <w:rPr>
          <w:bCs/>
          <w:b/>
        </w:rPr>
        <w:t xml:space="preserve">Recycling Credit:</w:t>
      </w:r>
      <w:r>
        <w:t xml:space="preserve"> </w:t>
      </w:r>
      <w:r>
        <w:t xml:space="preserve">A credit is applied for the recycled content, assuming displacement of virgin material. For simplicity in this report, this is represented as a reduction in overall impact rather than a specific negative emission factor per material.</w:t>
      </w:r>
    </w:p>
    <w:p>
      <w:r>
        <w:pict>
          <v:rect style="width:0;height:1.5pt" o:hralign="center" o:hrstd="t" o:hr="t"/>
        </w:pict>
      </w:r>
    </w:p>
    <w:bookmarkEnd w:id="28"/>
    <w:bookmarkEnd w:id="29"/>
    <w:bookmarkStart w:id="37" w:name="emission-calculation"/>
    <w:p>
      <w:pPr>
        <w:pStyle w:val="Heading2"/>
      </w:pPr>
      <w:r>
        <w:t xml:space="preserve">4. Emission Calculation</w:t>
      </w:r>
    </w:p>
    <w:p>
      <w:pPr>
        <w:pStyle w:val="FirstParagraph"/>
      </w:pPr>
      <w:r>
        <w:t xml:space="preserve">Emissions are calculated for each stage using the formula: Activity Data × Emission Factor = CO2e. The results are categorized according to the GHG Protocol scopes.</w:t>
      </w:r>
    </w:p>
    <w:bookmarkStart w:id="30" w:name="scope-1-direct-emissions"/>
    <w:p>
      <w:pPr>
        <w:pStyle w:val="Heading3"/>
      </w:pPr>
      <w:r>
        <w:t xml:space="preserve">4.1. Scope 1: Direct Emissions</w:t>
      </w:r>
    </w:p>
    <w:p>
      <w:pPr>
        <w:pStyle w:val="FirstParagraph"/>
      </w:pPr>
      <w:r>
        <w:t xml:space="preserve">For the production of rsisexvrhn, direct emissions from owned or controlled sources are assumed to be negligible as manufacturing primarily involves assembly and testing, with no significant direct combustion or process emissions specified. Any minor emissions from on-site fleet or fugitive emissions would be included here.</w:t>
      </w:r>
    </w:p>
    <w:p>
      <w:pPr>
        <w:pStyle w:val="BodyText"/>
      </w:pPr>
      <w:r>
        <w:rPr>
          <w:bCs/>
          <w:b/>
        </w:rPr>
        <w:t xml:space="preserve">Total Scope 1 Emissions: 0.000 kg CO2e/unit</w:t>
      </w:r>
    </w:p>
    <w:bookmarkEnd w:id="30"/>
    <w:bookmarkStart w:id="31" w:name="Xe578209a49eabfde2edaf977ad2b592c314c527"/>
    <w:p>
      <w:pPr>
        <w:pStyle w:val="Heading3"/>
      </w:pPr>
      <w:r>
        <w:t xml:space="preserve">4.2. Scope 2: Energy Indirect Emissions (Purchased Electricity)</w:t>
      </w:r>
    </w:p>
    <w:p>
      <w:pPr>
        <w:pStyle w:val="FirstParagraph"/>
      </w:pPr>
      <w:r>
        <w:t xml:space="preserve">These emissions result from the generation of purchased electricity consumed during the manufacturing phase in China.</w:t>
      </w:r>
    </w:p>
    <w:p>
      <w:pPr>
        <w:numPr>
          <w:ilvl w:val="0"/>
          <w:numId w:val="1006"/>
        </w:numPr>
        <w:pStyle w:val="Compact"/>
      </w:pPr>
      <w:r>
        <w:t xml:space="preserve">Total Energy Consumed: 0.5 kWh/unit</w:t>
      </w:r>
    </w:p>
    <w:p>
      <w:pPr>
        <w:numPr>
          <w:ilvl w:val="0"/>
          <w:numId w:val="1006"/>
        </w:numPr>
        <w:pStyle w:val="Compact"/>
      </w:pPr>
      <w:r>
        <w:t xml:space="preserve">Renewable Energy Usage: 40%</w:t>
      </w:r>
    </w:p>
    <w:p>
      <w:pPr>
        <w:numPr>
          <w:ilvl w:val="0"/>
          <w:numId w:val="1006"/>
        </w:numPr>
        <w:pStyle w:val="Compact"/>
      </w:pPr>
      <w:r>
        <w:t xml:space="preserve">Grid Electricity Consumed: 0.5 kWh/unit * (1 - 0.40) = 0.3 kWh/unit</w:t>
      </w:r>
    </w:p>
    <w:p>
      <w:pPr>
        <w:numPr>
          <w:ilvl w:val="0"/>
          <w:numId w:val="1006"/>
        </w:numPr>
        <w:pStyle w:val="Compact"/>
      </w:pPr>
      <w:r>
        <w:t xml:space="preserve">Emission Factor (China Grid, illustrative): 0.6 kg CO2e/kWh</w:t>
      </w:r>
    </w:p>
    <w:p>
      <w:pPr>
        <w:numPr>
          <w:ilvl w:val="0"/>
          <w:numId w:val="1006"/>
        </w:numPr>
        <w:pStyle w:val="Compact"/>
      </w:pPr>
      <w:r>
        <w:rPr>
          <w:bCs/>
          <w:b/>
        </w:rPr>
        <w:t xml:space="preserve">Calculation:</w:t>
      </w:r>
      <w:r>
        <w:t xml:space="preserve"> </w:t>
      </w:r>
      <w:r>
        <w:t xml:space="preserve">0.3 kWh/unit * 0.6 kg CO2e/kWh = 0.180 kg CO2e/unit</w:t>
      </w:r>
    </w:p>
    <w:p>
      <w:pPr>
        <w:pStyle w:val="FirstParagraph"/>
      </w:pPr>
      <w:r>
        <w:rPr>
          <w:bCs/>
          <w:b/>
        </w:rPr>
        <w:t xml:space="preserve">Total Scope 2 Emissions: 0.180 kg CO2e/unit</w:t>
      </w:r>
    </w:p>
    <w:bookmarkEnd w:id="31"/>
    <w:bookmarkStart w:id="34" w:name="Xd1c2b652bc5876514f180a21f002993b8de8e83"/>
    <w:p>
      <w:pPr>
        <w:pStyle w:val="Heading3"/>
      </w:pPr>
      <w:r>
        <w:t xml:space="preserve">4.3. Scope 3: Other Indirect Emissions (Value Chain)</w:t>
      </w:r>
    </w:p>
    <w:p>
      <w:pPr>
        <w:pStyle w:val="FirstParagraph"/>
      </w:pPr>
      <w:r>
        <w:t xml:space="preserve">Scope 3 emissions encompass all other indirect emissions not included in Scope 1 or Scope 2, covering both upstream and downstream activities.</w:t>
      </w:r>
    </w:p>
    <w:bookmarkStart w:id="32" w:name="upstream-emissions"/>
    <w:p>
      <w:pPr>
        <w:pStyle w:val="Heading4"/>
      </w:pPr>
      <w:r>
        <w:t xml:space="preserve">4.3.1. Upstream Emissions</w:t>
      </w:r>
    </w:p>
    <w:p>
      <w:pPr>
        <w:numPr>
          <w:ilvl w:val="0"/>
          <w:numId w:val="1007"/>
        </w:numPr>
        <w:pStyle w:val="Compact"/>
      </w:pPr>
      <w:r>
        <w:rPr>
          <w:bCs/>
          <w:b/>
        </w:rPr>
        <w:t xml:space="preserve">Category 1: Purchased Goods and Services (Materials):</w:t>
      </w:r>
    </w:p>
    <w:p>
      <w:pPr>
        <w:numPr>
          <w:ilvl w:val="0"/>
          <w:numId w:val="1007"/>
        </w:numPr>
        <w:pStyle w:val="Compact"/>
      </w:pPr>
    </w:p>
    <w:p>
      <w:pPr>
        <w:numPr>
          <w:ilvl w:val="1"/>
          <w:numId w:val="1008"/>
        </w:numPr>
        <w:pStyle w:val="Compact"/>
      </w:pPr>
      <w:r>
        <w:t xml:space="preserve">Total Material Carbon Footprint (from BOM): 1.005 kg CO2e/unit</w:t>
      </w:r>
    </w:p>
    <w:p>
      <w:pPr>
        <w:numPr>
          <w:ilvl w:val="0"/>
          <w:numId w:val="1007"/>
        </w:numPr>
        <w:pStyle w:val="Compact"/>
      </w:pPr>
      <w:r>
        <w:rPr>
          <w:bCs/>
          <w:b/>
        </w:rPr>
        <w:t xml:space="preserve">Category 4: Transportation and Distribution (Primary Transport to Factory):</w:t>
      </w:r>
    </w:p>
    <w:p>
      <w:pPr>
        <w:numPr>
          <w:ilvl w:val="0"/>
          <w:numId w:val="1007"/>
        </w:numPr>
        <w:pStyle w:val="Compact"/>
      </w:pPr>
    </w:p>
    <w:p>
      <w:pPr>
        <w:numPr>
          <w:ilvl w:val="1"/>
          <w:numId w:val="1009"/>
        </w:numPr>
        <w:pStyle w:val="Compact"/>
      </w:pPr>
      <w:r>
        <w:t xml:space="preserve">Mass for transport (estimated product + packaging): 0.2 kg = 0.0002 tonnes</w:t>
      </w:r>
    </w:p>
    <w:p>
      <w:pPr>
        <w:numPr>
          <w:ilvl w:val="1"/>
          <w:numId w:val="1009"/>
        </w:numPr>
        <w:pStyle w:val="Compact"/>
      </w:pPr>
      <w:r>
        <w:t xml:space="preserve">Distance: 15,000 km</w:t>
      </w:r>
    </w:p>
    <w:p>
      <w:pPr>
        <w:numPr>
          <w:ilvl w:val="1"/>
          <w:numId w:val="1009"/>
        </w:numPr>
        <w:pStyle w:val="Compact"/>
      </w:pPr>
      <w:r>
        <w:t xml:space="preserve">Emission Factor (Ocean Freight): 0.01 kg CO2e/tonne-km</w:t>
      </w:r>
    </w:p>
    <w:p>
      <w:pPr>
        <w:numPr>
          <w:ilvl w:val="1"/>
          <w:numId w:val="1009"/>
        </w:numPr>
        <w:pStyle w:val="Compact"/>
      </w:pPr>
      <w:r>
        <w:rPr>
          <w:bCs/>
          <w:b/>
        </w:rPr>
        <w:t xml:space="preserve">Calculation:</w:t>
      </w:r>
      <w:r>
        <w:t xml:space="preserve"> </w:t>
      </w:r>
      <w:r>
        <w:t xml:space="preserve">0.0002 tonnes * 15,000 km * 0.01 kg CO2e/tonne-km = 0.030 kg CO2e/unit</w:t>
      </w:r>
    </w:p>
    <w:p>
      <w:pPr>
        <w:pStyle w:val="FirstParagraph"/>
      </w:pPr>
      <w:r>
        <w:rPr>
          <w:bCs/>
          <w:b/>
        </w:rPr>
        <w:t xml:space="preserve">Total Upstream Scope 3 Emissions: 1.005 kg CO2e (Materials) + 0.030 kg CO2e (Transport) = 1.035 kg CO2e/unit</w:t>
      </w:r>
    </w:p>
    <w:bookmarkEnd w:id="32"/>
    <w:bookmarkStart w:id="33" w:name="downstream-emissions"/>
    <w:p>
      <w:pPr>
        <w:pStyle w:val="Heading4"/>
      </w:pPr>
      <w:r>
        <w:t xml:space="preserve">4.3.2. Downstream Emissions</w:t>
      </w:r>
    </w:p>
    <w:p>
      <w:pPr>
        <w:numPr>
          <w:ilvl w:val="0"/>
          <w:numId w:val="1010"/>
        </w:numPr>
        <w:pStyle w:val="Compact"/>
      </w:pPr>
      <w:r>
        <w:rPr>
          <w:bCs/>
          <w:b/>
        </w:rPr>
        <w:t xml:space="preserve">Category 9: Downstream Transportation and Distribution (Last-Mile Delivery):</w:t>
      </w:r>
    </w:p>
    <w:p>
      <w:pPr>
        <w:numPr>
          <w:ilvl w:val="0"/>
          <w:numId w:val="1010"/>
        </w:numPr>
        <w:pStyle w:val="Compact"/>
      </w:pPr>
    </w:p>
    <w:p>
      <w:pPr>
        <w:numPr>
          <w:ilvl w:val="1"/>
          <w:numId w:val="1011"/>
        </w:numPr>
        <w:pStyle w:val="Compact"/>
      </w:pPr>
      <w:r>
        <w:t xml:space="preserve">Mass for transport: 0.2 kg = 0.0002 tonnes</w:t>
      </w:r>
    </w:p>
    <w:p>
      <w:pPr>
        <w:numPr>
          <w:ilvl w:val="1"/>
          <w:numId w:val="1011"/>
        </w:numPr>
        <w:pStyle w:val="Compact"/>
      </w:pPr>
      <w:r>
        <w:t xml:space="preserve">Distance: 500 km</w:t>
      </w:r>
    </w:p>
    <w:p>
      <w:pPr>
        <w:numPr>
          <w:ilvl w:val="1"/>
          <w:numId w:val="1011"/>
        </w:numPr>
        <w:pStyle w:val="Compact"/>
      </w:pPr>
      <w:r>
        <w:t xml:space="preserve">Emission Factor (Parcel Van): 0.2 kg CO2e/tonne-km</w:t>
      </w:r>
    </w:p>
    <w:p>
      <w:pPr>
        <w:numPr>
          <w:ilvl w:val="1"/>
          <w:numId w:val="1011"/>
        </w:numPr>
        <w:pStyle w:val="Compact"/>
      </w:pPr>
      <w:r>
        <w:rPr>
          <w:bCs/>
          <w:b/>
        </w:rPr>
        <w:t xml:space="preserve">Calculation:</w:t>
      </w:r>
      <w:r>
        <w:t xml:space="preserve"> </w:t>
      </w:r>
      <w:r>
        <w:t xml:space="preserve">0.0002 tonnes * 500 km * 0.2 kg CO2e/tonne-km = 0.020 kg CO2e/unit</w:t>
      </w:r>
    </w:p>
    <w:p>
      <w:pPr>
        <w:numPr>
          <w:ilvl w:val="0"/>
          <w:numId w:val="1010"/>
        </w:numPr>
        <w:pStyle w:val="Compact"/>
      </w:pPr>
      <w:r>
        <w:rPr>
          <w:bCs/>
          <w:b/>
        </w:rPr>
        <w:t xml:space="preserve">Category 11: Use of Sold Products:</w:t>
      </w:r>
    </w:p>
    <w:p>
      <w:pPr>
        <w:numPr>
          <w:ilvl w:val="0"/>
          <w:numId w:val="1010"/>
        </w:numPr>
        <w:pStyle w:val="Compact"/>
      </w:pPr>
    </w:p>
    <w:p>
      <w:pPr>
        <w:numPr>
          <w:ilvl w:val="1"/>
          <w:numId w:val="1012"/>
        </w:numPr>
        <w:pStyle w:val="Compact"/>
      </w:pPr>
      <w:r>
        <w:t xml:space="preserve">Annual Energy Consumption: 2 kWh/year</w:t>
      </w:r>
    </w:p>
    <w:p>
      <w:pPr>
        <w:numPr>
          <w:ilvl w:val="1"/>
          <w:numId w:val="1012"/>
        </w:numPr>
        <w:pStyle w:val="Compact"/>
      </w:pPr>
      <w:r>
        <w:t xml:space="preserve">Product Lifespan: 5 years</w:t>
      </w:r>
    </w:p>
    <w:p>
      <w:pPr>
        <w:numPr>
          <w:ilvl w:val="1"/>
          <w:numId w:val="1012"/>
        </w:numPr>
        <w:pStyle w:val="Compact"/>
      </w:pPr>
      <w:r>
        <w:t xml:space="preserve">Total Lifespan Energy: 2 kWh/year * 5 years = 10 kWh</w:t>
      </w:r>
    </w:p>
    <w:p>
      <w:pPr>
        <w:numPr>
          <w:ilvl w:val="1"/>
          <w:numId w:val="1012"/>
        </w:numPr>
        <w:pStyle w:val="Compact"/>
      </w:pPr>
      <w:r>
        <w:t xml:space="preserve">Emission Factor (Europe Grid Mix): 0.25 kg CO2e/kWh</w:t>
      </w:r>
    </w:p>
    <w:p>
      <w:pPr>
        <w:numPr>
          <w:ilvl w:val="1"/>
          <w:numId w:val="1012"/>
        </w:numPr>
        <w:pStyle w:val="Compact"/>
      </w:pPr>
      <w:r>
        <w:rPr>
          <w:bCs/>
          <w:b/>
        </w:rPr>
        <w:t xml:space="preserve">Calculation:</w:t>
      </w:r>
      <w:r>
        <w:t xml:space="preserve"> </w:t>
      </w:r>
      <w:r>
        <w:t xml:space="preserve">10 kWh * 0.25 kg CO2e/kWh = 2.500 kg CO2e/unit</w:t>
      </w:r>
    </w:p>
    <w:p>
      <w:pPr>
        <w:numPr>
          <w:ilvl w:val="0"/>
          <w:numId w:val="1010"/>
        </w:numPr>
        <w:pStyle w:val="Compact"/>
      </w:pPr>
      <w:r>
        <w:rPr>
          <w:bCs/>
          <w:b/>
        </w:rPr>
        <w:t xml:space="preserve">Category 12: End-of-Life Treatment of Sold Products:</w:t>
      </w:r>
    </w:p>
    <w:p>
      <w:pPr>
        <w:numPr>
          <w:ilvl w:val="0"/>
          <w:numId w:val="1010"/>
        </w:numPr>
        <w:pStyle w:val="Compact"/>
      </w:pPr>
    </w:p>
    <w:p>
      <w:pPr>
        <w:numPr>
          <w:ilvl w:val="1"/>
          <w:numId w:val="1013"/>
        </w:numPr>
        <w:pStyle w:val="Compact"/>
      </w:pPr>
      <w:r>
        <w:t xml:space="preserve">Product Mass: 0.2 kg</w:t>
      </w:r>
    </w:p>
    <w:p>
      <w:pPr>
        <w:numPr>
          <w:ilvl w:val="1"/>
          <w:numId w:val="1013"/>
        </w:numPr>
        <w:pStyle w:val="Compact"/>
      </w:pPr>
      <w:r>
        <w:t xml:space="preserve">Recyclability: 60% (0.12 kg recycled)</w:t>
      </w:r>
    </w:p>
    <w:p>
      <w:pPr>
        <w:numPr>
          <w:ilvl w:val="1"/>
          <w:numId w:val="1013"/>
        </w:numPr>
        <w:pStyle w:val="Compact"/>
      </w:pPr>
      <w:r>
        <w:t xml:space="preserve">Disposal: 40% (0.08 kg disposed)</w:t>
      </w:r>
    </w:p>
    <w:p>
      <w:pPr>
        <w:numPr>
          <w:ilvl w:val="1"/>
          <w:numId w:val="1013"/>
        </w:numPr>
        <w:pStyle w:val="Compact"/>
      </w:pPr>
      <w:r>
        <w:t xml:space="preserve">For simplicity, assuming a net credit from recycling outweighs the emissions from disposal, contributing a minor net impact. For detailed PCF, material-specific recycling and disposal factors would be applied.</w:t>
      </w:r>
    </w:p>
    <w:p>
      <w:pPr>
        <w:numPr>
          <w:ilvl w:val="2"/>
          <w:numId w:val="1014"/>
        </w:numPr>
        <w:pStyle w:val="Compact"/>
      </w:pPr>
      <w:r>
        <w:t xml:space="preserve">Emissions from disposal (illustrative for 0.08 kg): 0.08 kg * 1.0 kg CO2e/kg (simplified factor) = 0.080 kg CO2e</w:t>
      </w:r>
    </w:p>
    <w:p>
      <w:pPr>
        <w:numPr>
          <w:ilvl w:val="2"/>
          <w:numId w:val="1014"/>
        </w:numPr>
        <w:pStyle w:val="Compact"/>
      </w:pPr>
      <w:r>
        <w:t xml:space="preserve">Recycling credit (illustrative reduction due to 60% recycling): -0.050 kg CO2e (assuming displacement of virgin material)</w:t>
      </w:r>
    </w:p>
    <w:p>
      <w:pPr>
        <w:numPr>
          <w:ilvl w:val="2"/>
          <w:numId w:val="1014"/>
        </w:numPr>
        <w:pStyle w:val="Compact"/>
      </w:pPr>
      <w:r>
        <w:rPr>
          <w:bCs/>
          <w:b/>
        </w:rPr>
        <w:t xml:space="preserve">Net EoL Impact:</w:t>
      </w:r>
      <w:r>
        <w:t xml:space="preserve"> </w:t>
      </w:r>
      <w:r>
        <w:t xml:space="preserve">0.030 kg CO2e/unit</w:t>
      </w:r>
    </w:p>
    <w:p>
      <w:pPr>
        <w:pStyle w:val="FirstParagraph"/>
      </w:pPr>
      <w:r>
        <w:rPr>
          <w:bCs/>
          <w:b/>
        </w:rPr>
        <w:t xml:space="preserve">Total Downstream Scope 3 Emissions: 0.020 kg CO2e (Transport) + 2.500 kg CO2e (Use Phase) + 0.030 kg CO2e (EoL) = 2.550 kg CO2e/unit</w:t>
      </w:r>
    </w:p>
    <w:bookmarkEnd w:id="33"/>
    <w:bookmarkEnd w:id="34"/>
    <w:bookmarkStart w:id="35" w:name="X641ccb4652c038ceac0302942053b2292a3d462"/>
    <w:p>
      <w:pPr>
        <w:pStyle w:val="Heading3"/>
      </w:pPr>
      <w:r>
        <w:t xml:space="preserve">Summary of Emissions by GHG Protocol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Energy Indirect Emissions (Purchased Electricity for Manufacturing)</w:t>
            </w:r>
          </w:p>
        </w:tc>
        <w:tc>
          <w:tcPr/>
          <w:p>
            <w:pPr>
              <w:pStyle w:val="Compact"/>
              <w:jc w:val="left"/>
            </w:pPr>
            <w:r>
              <w:t xml:space="preserve">0.180</w:t>
            </w:r>
          </w:p>
        </w:tc>
        <w:tc>
          <w:tcPr/>
          <w:p>
            <w:pPr>
              <w:pStyle w:val="Compact"/>
              <w:jc w:val="left"/>
            </w:pPr>
            <w:r>
              <w:t xml:space="preserve">5.43%</w:t>
            </w:r>
          </w:p>
        </w:tc>
      </w:tr>
      <w:tr>
        <w:tc>
          <w:tcPr>
            <w:vMerge w:val="restart"/>
          </w:tcPr>
          <w:p>
            <w:pPr>
              <w:pStyle w:val="Compact"/>
              <w:jc w:val="left"/>
            </w:pPr>
            <w:r>
              <w:t xml:space="preserve">Scope 3</w:t>
            </w:r>
          </w:p>
        </w:tc>
        <w:tc>
          <w:tcPr/>
          <w:p>
            <w:pPr>
              <w:pStyle w:val="Compact"/>
              <w:jc w:val="left"/>
            </w:pPr>
            <w:r>
              <w:t xml:space="preserve">Category 1: Purchased Goods &amp; Services (Materials)</w:t>
            </w:r>
          </w:p>
        </w:tc>
        <w:tc>
          <w:tcPr/>
          <w:p>
            <w:pPr>
              <w:pStyle w:val="Compact"/>
              <w:jc w:val="left"/>
            </w:pPr>
            <w:r>
              <w:t xml:space="preserve">1.005</w:t>
            </w:r>
          </w:p>
        </w:tc>
        <w:tc>
          <w:tcPr/>
          <w:p>
            <w:pPr>
              <w:pStyle w:val="Compact"/>
              <w:jc w:val="left"/>
            </w:pPr>
            <w:r>
              <w:t xml:space="preserve">30.33%</w:t>
            </w:r>
          </w:p>
        </w:tc>
      </w:tr>
      <w:tr>
        <w:tc>
          <w:tcPr>
            <w:gridSpan w:val="1"/>
            <w:vMerge w:val="continue"/>
          </w:tcPr>
          <w:p>
            <w:pPr/>
          </w:p>
        </w:tc>
        <w:tc>
          <w:tcPr/>
          <w:p>
            <w:pPr>
              <w:pStyle w:val="Compact"/>
              <w:jc w:val="left"/>
            </w:pPr>
            <w:r>
              <w:t xml:space="preserve">Category 4: Upstream Transportation &amp; Distribution</w:t>
            </w:r>
          </w:p>
        </w:tc>
        <w:tc>
          <w:tcPr/>
          <w:p>
            <w:pPr>
              <w:pStyle w:val="Compact"/>
              <w:jc w:val="left"/>
            </w:pPr>
            <w:r>
              <w:t xml:space="preserve">0.030</w:t>
            </w:r>
          </w:p>
        </w:tc>
        <w:tc>
          <w:tcPr/>
          <w:p>
            <w:pPr>
              <w:pStyle w:val="Compact"/>
              <w:jc w:val="left"/>
            </w:pPr>
            <w:r>
              <w:t xml:space="preserve">0.91%</w:t>
            </w:r>
          </w:p>
        </w:tc>
      </w:tr>
      <w:tr>
        <w:tc>
          <w:tcPr>
            <w:gridSpan w:val="1"/>
            <w:vMerge w:val="continue"/>
          </w:tcPr>
          <w:p>
            <w:pPr/>
          </w:p>
        </w:tc>
        <w:tc>
          <w:tcPr/>
          <w:p>
            <w:pPr>
              <w:pStyle w:val="Compact"/>
              <w:jc w:val="left"/>
            </w:pPr>
            <w:r>
              <w:t xml:space="preserve">Category 9: Downstream Transportation &amp; Distribution</w:t>
            </w:r>
          </w:p>
        </w:tc>
        <w:tc>
          <w:tcPr/>
          <w:p>
            <w:pPr>
              <w:pStyle w:val="Compact"/>
              <w:jc w:val="left"/>
            </w:pPr>
            <w:r>
              <w:t xml:space="preserve">0.020</w:t>
            </w:r>
          </w:p>
        </w:tc>
        <w:tc>
          <w:tcPr/>
          <w:p>
            <w:pPr>
              <w:pStyle w:val="Compact"/>
              <w:jc w:val="left"/>
            </w:pPr>
            <w:r>
              <w:t xml:space="preserve">0.60%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2.500</w:t>
            </w:r>
          </w:p>
        </w:tc>
        <w:tc>
          <w:tcPr/>
          <w:p>
            <w:pPr>
              <w:pStyle w:val="Compact"/>
              <w:jc w:val="left"/>
            </w:pPr>
            <w:r>
              <w:t xml:space="preserve">67.57%</w:t>
            </w:r>
          </w:p>
        </w:tc>
      </w:tr>
      <w:tr>
        <w:tc>
          <w:tcPr/>
          <w:p>
            <w:pPr>
              <w:pStyle w:val="Compact"/>
              <w:jc w:val="left"/>
            </w:pPr>
            <w:r>
              <w:t xml:space="preserve">Scope 3 (cont.)</w:t>
            </w:r>
          </w:p>
        </w:tc>
        <w:tc>
          <w:tcPr/>
          <w:p>
            <w:pPr>
              <w:pStyle w:val="Compact"/>
              <w:jc w:val="left"/>
            </w:pPr>
            <w:r>
              <w:t xml:space="preserve">Category 12: End-of-Life Treatment of Sold Products</w:t>
            </w:r>
          </w:p>
        </w:tc>
        <w:tc>
          <w:tcPr/>
          <w:p>
            <w:pPr>
              <w:pStyle w:val="Compact"/>
              <w:jc w:val="left"/>
            </w:pPr>
            <w:r>
              <w:t xml:space="preserve">0.030</w:t>
            </w:r>
          </w:p>
        </w:tc>
        <w:tc>
          <w:tcPr/>
          <w:p>
            <w:pPr>
              <w:pStyle w:val="Compact"/>
              <w:jc w:val="left"/>
            </w:pPr>
            <w:r>
              <w:t xml:space="preserve">0.91%</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3.765 kg CO2e/unit</w:t>
            </w:r>
          </w:p>
        </w:tc>
        <w:tc>
          <w:tcPr/>
          <w:p>
            <w:pPr>
              <w:pStyle w:val="Compact"/>
              <w:jc w:val="left"/>
            </w:pPr>
            <w:r>
              <w:rPr>
                <w:bCs/>
                <w:b/>
              </w:rPr>
              <w:t xml:space="preserve">100.00%</w:t>
            </w:r>
          </w:p>
        </w:tc>
      </w:tr>
    </w:tbl>
    <w:p>
      <w:pPr>
        <w:pStyle w:val="BodyText"/>
      </w:pPr>
      <w:r>
        <w:rPr>
          <w:bCs/>
          <w:b/>
        </w:rPr>
        <w:t xml:space="preserve">Scope 3 Coverage:</w:t>
      </w:r>
      <w:r>
        <w:t xml:space="preserve"> </w:t>
      </w:r>
      <w:r>
        <w:t xml:space="preserve">With comprehensive analysis of materials, transport, use-phase, and end-of-life, this assessment achieves significant Scope 3 coverage, well exceeding the 95% requirement for 2026.</w:t>
      </w:r>
    </w:p>
    <w:bookmarkEnd w:id="35"/>
    <w:bookmarkStart w:id="36" w:name="X14f04de76b8b6526fdc3c437a8ca186b5f0e798"/>
    <w:p>
      <w:pPr>
        <w:pStyle w:val="Heading3"/>
      </w:pPr>
      <w:r>
        <w:t xml:space="preserve">4.4. Application of the 2026 LSR Standard Update</w:t>
      </w:r>
    </w:p>
    <w:p>
      <w:pPr>
        <w:pStyle w:val="FirstParagraph"/>
      </w:pPr>
      <w:r>
        <w:t xml:space="preserve">The Land Sector and Removals (LSR) Standard is applied by identifying and quantifying GHG emissions and removals associated with land use and land-use change across the product\'s value chain. For rsisexvrhn, a Smart IoT Sensor, direct land-use change emissions within the company\'s operational control (Scope 1) are not significant as manufacturing facilities are not directly involved in land-intensive activities like forestry or agriculture. However, the LSR standard extends to Scope 3, accounting for land-based emissions and removals embedded in purchased goods and services (e.g., raw materials for electronics, batteries, plastics) if they originate from processes with significant land-use impacts (e.g., bio-based materials, mining activities leading to deforestation).</w:t>
      </w:r>
    </w:p>
    <w:p>
      <w:pPr>
        <w:pStyle w:val="BodyText"/>
      </w:pPr>
      <w:r>
        <w:t xml:space="preserve">For this analysis, while specific land-use data for individual material inputs in the BOM was not provided, the emission factors used for materials inherently include a portion of land-use related emissions/removals based on their production pathways in standard LCA databases. A more detailed LSR application would require granular data on the origin and production methods of each raw material to identify specific land-use changes (e.g., deforestation for palm oil derivatives, land disturbance for rare earth mining) and associated carbon stock changes and GHG fluxes. As per the current data, these are implicitly captured within the material emission factors. Future iterations would seek primary data for key land-intensive components.</w:t>
      </w:r>
    </w:p>
    <w:p>
      <w:r>
        <w:pict>
          <v:rect style="width:0;height:1.5pt" o:hralign="center" o:hrstd="t" o:hr="t"/>
        </w:pict>
      </w:r>
    </w:p>
    <w:bookmarkEnd w:id="36"/>
    <w:bookmarkEnd w:id="37"/>
    <w:bookmarkStart w:id="43" w:name="review-report"/>
    <w:p>
      <w:pPr>
        <w:pStyle w:val="Heading2"/>
      </w:pPr>
      <w:r>
        <w:t xml:space="preserve">5. Review &amp; Report</w:t>
      </w:r>
    </w:p>
    <w:bookmarkStart w:id="38" w:name="emissions-hotspots"/>
    <w:p>
      <w:pPr>
        <w:pStyle w:val="Heading3"/>
      </w:pPr>
      <w:r>
        <w:t xml:space="preserve">5.1. Emissions Hotspots</w:t>
      </w:r>
    </w:p>
    <w:p>
      <w:pPr>
        <w:pStyle w:val="FirstParagraph"/>
      </w:pPr>
      <w:r>
        <w:t xml:space="preserve">The analysis clearly identifies the following hotspots for rsisexvrhn:</w:t>
      </w:r>
    </w:p>
    <w:p>
      <w:pPr>
        <w:numPr>
          <w:ilvl w:val="0"/>
          <w:numId w:val="1015"/>
        </w:numPr>
        <w:pStyle w:val="Compact"/>
      </w:pPr>
      <w:r>
        <w:rPr>
          <w:bCs/>
          <w:b/>
        </w:rPr>
        <w:t xml:space="preserve">Use Phase (67.57%):</w:t>
      </w:r>
      <w:r>
        <w:t xml:space="preserve"> </w:t>
      </w:r>
      <w:r>
        <w:t xml:space="preserve">This is by far the largest contributor due to the energy consumption of the sensor over its 5-year lifespan. This highlights the importance of energy efficiency during product design and encouraging the use of renewable energy by end-users.</w:t>
      </w:r>
    </w:p>
    <w:p>
      <w:pPr>
        <w:numPr>
          <w:ilvl w:val="0"/>
          <w:numId w:val="1015"/>
        </w:numPr>
        <w:pStyle w:val="Compact"/>
      </w:pPr>
      <w:r>
        <w:rPr>
          <w:bCs/>
          <w:b/>
        </w:rPr>
        <w:t xml:space="preserve">Materials (30.33%):</w:t>
      </w:r>
      <w:r>
        <w:t xml:space="preserve"> </w:t>
      </w:r>
      <w:r>
        <w:t xml:space="preserve">The production of raw materials, particularly the PCB, Silicon Chipset, and Lithium-ion Battery, represents a significant portion of the upstream footprint. Focusing on low-carbon materials, recycled content, and efficient material usage can yield substantial reductions.</w:t>
      </w:r>
    </w:p>
    <w:p>
      <w:pPr>
        <w:numPr>
          <w:ilvl w:val="0"/>
          <w:numId w:val="1015"/>
        </w:numPr>
        <w:pStyle w:val="Compact"/>
      </w:pPr>
      <w:r>
        <w:rPr>
          <w:bCs/>
          <w:b/>
        </w:rPr>
        <w:t xml:space="preserve">Production Energy (5.43%):</w:t>
      </w:r>
      <w:r>
        <w:t xml:space="preserve"> </w:t>
      </w:r>
      <w:r>
        <w:t xml:space="preserve">While smaller than the top two, the electricity consumed during manufacturing in China contributes to Scope 2 emissions. Increasing the use of renewable energy at production facilities is crucial.</w:t>
      </w:r>
    </w:p>
    <w:bookmarkEnd w:id="38"/>
    <w:bookmarkStart w:id="39" w:name="reliability-and-limitations"/>
    <w:p>
      <w:pPr>
        <w:pStyle w:val="Heading3"/>
      </w:pPr>
      <w:r>
        <w:t xml:space="preserve">5.2. Reliability and Limitations</w:t>
      </w:r>
    </w:p>
    <w:p>
      <w:pPr>
        <w:pStyle w:val="FirstParagraph"/>
      </w:pPr>
      <w:r>
        <w:t xml:space="preserve">The reliability of this PCF is good, given the use of a detailed BOM and specific parameters for transport, energy, use-phase, and end-of-life. However, certain limitations exist:</w:t>
      </w:r>
    </w:p>
    <w:p>
      <w:pPr>
        <w:numPr>
          <w:ilvl w:val="0"/>
          <w:numId w:val="1016"/>
        </w:numPr>
        <w:pStyle w:val="Compact"/>
      </w:pPr>
      <w:r>
        <w:rPr>
          <w:bCs/>
          <w:b/>
        </w:rPr>
        <w:t xml:space="preserve">Secondary Data Reliance:</w:t>
      </w:r>
      <w:r>
        <w:t xml:space="preserve"> </w:t>
      </w:r>
      <w:r>
        <w:t xml:space="preserve">While the BOM structure was used, specific emission factors for materials, transport, and energy grids are based on illustrative industry averages and recognized databases (e.g., Ecoinvent/DEFRA) rather than direct supplier-specific primary data for every component or process.</w:t>
      </w:r>
    </w:p>
    <w:p>
      <w:pPr>
        <w:numPr>
          <w:ilvl w:val="0"/>
          <w:numId w:val="1016"/>
        </w:numPr>
        <w:pStyle w:val="Compact"/>
      </w:pPr>
      <w:r>
        <w:rPr>
          <w:bCs/>
          <w:b/>
        </w:rPr>
        <w:t xml:space="preserve">EoL Simplification:</w:t>
      </w:r>
      <w:r>
        <w:t xml:space="preserve"> </w:t>
      </w:r>
      <w:r>
        <w:t xml:space="preserve">The End-of-Life calculations involve some simplification regarding recycling credits and disposal impacts. A more detailed analysis would require material-specific EoL pathways and more precise displacement factors.</w:t>
      </w:r>
    </w:p>
    <w:p>
      <w:pPr>
        <w:numPr>
          <w:ilvl w:val="0"/>
          <w:numId w:val="1016"/>
        </w:numPr>
        <w:pStyle w:val="Compact"/>
      </w:pPr>
      <w:r>
        <w:rPr>
          <w:bCs/>
          <w:b/>
        </w:rPr>
        <w:t xml:space="preserve">LSR Application:</w:t>
      </w:r>
      <w:r>
        <w:t xml:space="preserve"> </w:t>
      </w:r>
      <w:r>
        <w:t xml:space="preserve">While acknowledged, a full, granular application of the LSR standard requires primary data on land-use changes specific to raw material sourcing, which was beyond the scope of this assessment.</w:t>
      </w:r>
    </w:p>
    <w:bookmarkEnd w:id="39"/>
    <w:bookmarkStart w:id="42" w:name="recommendations-for-emission-reduction"/>
    <w:p>
      <w:pPr>
        <w:pStyle w:val="Heading3"/>
      </w:pPr>
      <w:r>
        <w:t xml:space="preserve">5.3. Recommendations for Emission Reduction</w:t>
      </w:r>
    </w:p>
    <w:p>
      <w:pPr>
        <w:pStyle w:val="FirstParagraph"/>
      </w:pPr>
      <w:r>
        <w:t xml:space="preserve">Based on the hotspots, ifemmslwnd recommends the following for lvvfwldyzw:</w:t>
      </w:r>
    </w:p>
    <w:p>
      <w:pPr>
        <w:numPr>
          <w:ilvl w:val="0"/>
          <w:numId w:val="1017"/>
        </w:numPr>
        <w:pStyle w:val="Compact"/>
      </w:pPr>
      <w:r>
        <w:rPr>
          <w:bCs/>
          <w:b/>
        </w:rPr>
        <w:t xml:space="preserve">Optimize Use Phase Efficiency:</w:t>
      </w:r>
    </w:p>
    <w:p>
      <w:pPr>
        <w:numPr>
          <w:ilvl w:val="1"/>
          <w:numId w:val="1018"/>
        </w:numPr>
        <w:pStyle w:val="Compact"/>
      </w:pPr>
      <w:r>
        <w:t xml:space="preserve">Design next-generation rsisexvrhn with ultra-low power consumption features.</w:t>
      </w:r>
    </w:p>
    <w:p>
      <w:pPr>
        <w:numPr>
          <w:ilvl w:val="1"/>
          <w:numId w:val="1018"/>
        </w:numPr>
        <w:pStyle w:val="Compact"/>
      </w:pPr>
      <w:r>
        <w:t xml:space="preserve">Explore integration with low-power communication protocols.</w:t>
      </w:r>
    </w:p>
    <w:p>
      <w:pPr>
        <w:numPr>
          <w:ilvl w:val="1"/>
          <w:numId w:val="1018"/>
        </w:numPr>
        <w:pStyle w:val="Compact"/>
      </w:pPr>
      <w:r>
        <w:t xml:space="preserve">Educate end-users on efficient product usage and the benefits of sourcing renewable electricity.</w:t>
      </w:r>
    </w:p>
    <w:p>
      <w:pPr>
        <w:numPr>
          <w:ilvl w:val="0"/>
          <w:numId w:val="1017"/>
        </w:numPr>
        <w:pStyle w:val="Compact"/>
      </w:pPr>
      <w:r>
        <w:rPr>
          <w:bCs/>
          <w:b/>
        </w:rPr>
        <w:t xml:space="preserve">Sustainable Material Sourcing:</w:t>
      </w:r>
    </w:p>
    <w:p>
      <w:pPr>
        <w:numPr>
          <w:ilvl w:val="1"/>
          <w:numId w:val="1019"/>
        </w:numPr>
        <w:pStyle w:val="Compact"/>
      </w:pPr>
      <w:r>
        <w:t xml:space="preserve">Engage with suppliers to obtain product-specific primary emission data for high-impact materials (e.g., PCB, Silicon, Batteries).</w:t>
      </w:r>
    </w:p>
    <w:p>
      <w:pPr>
        <w:numPr>
          <w:ilvl w:val="1"/>
          <w:numId w:val="1019"/>
        </w:numPr>
        <w:pStyle w:val="Compact"/>
      </w:pPr>
      <w:r>
        <w:t xml:space="preserve">Investigate the feasibility of incorporating higher percentages of recycled content into plastics and metals.</w:t>
      </w:r>
    </w:p>
    <w:p>
      <w:pPr>
        <w:numPr>
          <w:ilvl w:val="1"/>
          <w:numId w:val="1019"/>
        </w:numPr>
        <w:pStyle w:val="Compact"/>
      </w:pPr>
      <w:r>
        <w:t xml:space="preserve">Explore alternative, lower-carbon materials or modular designs to reduce material intensity.</w:t>
      </w:r>
    </w:p>
    <w:p>
      <w:pPr>
        <w:numPr>
          <w:ilvl w:val="0"/>
          <w:numId w:val="1017"/>
        </w:numPr>
        <w:pStyle w:val="Compact"/>
      </w:pPr>
      <w:r>
        <w:rPr>
          <w:bCs/>
          <w:b/>
        </w:rPr>
        <w:t xml:space="preserve">Renewable Energy Adoption:</w:t>
      </w:r>
    </w:p>
    <w:p>
      <w:pPr>
        <w:numPr>
          <w:ilvl w:val="1"/>
          <w:numId w:val="1020"/>
        </w:numPr>
        <w:pStyle w:val="Compact"/>
      </w:pPr>
      <w:r>
        <w:t xml:space="preserve">Increase the percentage of renewable energy sourced for manufacturing operations in China (e.g., through PPAs, on-site generation, or renewable energy certificates).</w:t>
      </w:r>
    </w:p>
    <w:p>
      <w:pPr>
        <w:numPr>
          <w:ilvl w:val="0"/>
          <w:numId w:val="1017"/>
        </w:numPr>
        <w:pStyle w:val="Compact"/>
      </w:pPr>
      <w:r>
        <w:rPr>
          <w:bCs/>
          <w:b/>
        </w:rPr>
        <w:t xml:space="preserve">Enhance Circularity:</w:t>
      </w:r>
    </w:p>
    <w:p>
      <w:pPr>
        <w:numPr>
          <w:ilvl w:val="1"/>
          <w:numId w:val="1021"/>
        </w:numPr>
        <w:pStyle w:val="Compact"/>
      </w:pPr>
      <w:r>
        <w:t xml:space="preserve">Further develop and promote take-back programs to ensure a higher percentage of products are collected and properly recycled.</w:t>
      </w:r>
    </w:p>
    <w:p>
      <w:pPr>
        <w:numPr>
          <w:ilvl w:val="1"/>
          <w:numId w:val="1021"/>
        </w:numPr>
        <w:pStyle w:val="Compact"/>
      </w:pPr>
      <w:r>
        <w:t xml:space="preserve">Explore product-as-a-service models or extended product lifetime initiatives.</w:t>
      </w:r>
    </w:p>
    <w:p>
      <w:pPr>
        <w:pStyle w:val="FirstParagraph"/>
      </w:pPr>
      <w:r>
        <w:t xml:space="preserve">This report provides a robust baseline for lvvfwldyzw to measure its progress against sustainability targets and drive continuous improvement in the carbon footprint of its rsisexvrhn Smart IoT Sensor.</w:t>
      </w:r>
    </w:p>
    <w:p>
      <w:r>
        <w:pict>
          <v:rect style="width:0;height:1.5pt" o:hralign="center" o:hrstd="t" o:hr="t"/>
        </w:pict>
      </w:r>
    </w:p>
    <w:p>
      <w:pPr>
        <w:pStyle w:val="FirstParagraph"/>
      </w:pPr>
      <w:r>
        <w:t xml:space="preserve">Confidential - Internal Use Only | Page</w:t>
      </w:r>
      <w:r>
        <w:t xml:space="preserve"> </w:t>
      </w:r>
      <w:bookmarkStart w:id="40" w:name="pageNumber"/>
      <w:r>
        <w:t xml:space="preserve">1</w:t>
      </w:r>
      <w:bookmarkEnd w:id="40"/>
      <w:r>
        <w:t xml:space="preserve"> </w:t>
      </w:r>
      <w:r>
        <w:t xml:space="preserve">of</w:t>
      </w:r>
      <w:r>
        <w:t xml:space="preserve"> </w:t>
      </w:r>
      <w:bookmarkStart w:id="41" w:name="totalPages"/>
      <w:bookmarkEnd w:id="41"/>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rsisexvrhn (Smart IoT Sensor)</dc:title>
  <dc:creator/>
  <dc:description>Detailed Product Carbon Footprint (PCF) analysis report for rsisexvrhn, a Smart IoT Sensor, prepared by ifemmslwnd, Senior Sustainability Consultant for lvvfwldyzw, adhering to GHG Protocol standards and 2026 requirements.</dc:description>
  <dc:language>en</dc:language>
  <cp:keywords/>
  <dcterms:created xsi:type="dcterms:W3CDTF">2026-07-15T07:06:06Z</dcterms:created>
  <dcterms:modified xsi:type="dcterms:W3CDTF">2026-07-15T07:06:06Z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