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rrwzkhfjph</w:t>
      </w:r>
      <w:r>
        <w:t xml:space="preserve"> </w:t>
      </w:r>
      <w:r>
        <w:t xml:space="preserve">-</w:t>
      </w:r>
      <w:r>
        <w:t xml:space="preserve"> </w:t>
      </w:r>
      <w:r>
        <w:t xml:space="preserve">koynekyklv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rrwzkhfjph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koynekyklv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mqiotfsksz</w:t>
      </w:r>
    </w:p>
    <w:p>
      <w:pPr>
        <w:pStyle w:val="BodyText"/>
      </w:pPr>
      <w:r>
        <w:t xml:space="preserve">Disclaimer: This report is generated based on available data, specified parameters, and industry standards.</w:t>
      </w:r>
      <w:r>
        <w:t xml:space="preserve"> </w:t>
      </w:r>
      <w:r>
        <w:t xml:space="preserve">The calculations rely on illustrative emission factors and estimates where primary data was not directly provided,</w:t>
      </w:r>
      <w:r>
        <w:t xml:space="preserve"> </w:t>
      </w:r>
      <w:r>
        <w:t xml:space="preserve">aiming to provide a robust but indicative product carbon footprint.</w:t>
      </w:r>
    </w:p>
    <w:bookmarkEnd w:id="20"/>
    <w:bookmarkStart w:id="21" w:name="Xcaeeb420cc9727a1e476920c2fd1677dfb6d04c"/>
    <w:p>
      <w:pPr>
        <w:pStyle w:val="Heading1"/>
      </w:pPr>
      <w:r>
        <w:t xml:space="preserve">Product Carbon Footprint Analysis Report for rrwzkhfjph</w:t>
      </w:r>
    </w:p>
    <w:p>
      <w:pPr>
        <w:pStyle w:val="FirstParagraph"/>
      </w:pPr>
      <w:r>
        <w:t xml:space="preserve">Generated Date: May 20, 2026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the product "rrwzkhfjph" manufactured by "koynekyklv".</w:t>
      </w:r>
      <w:r>
        <w:t xml:space="preserve"> </w:t>
      </w:r>
      <w:r>
        <w:t xml:space="preserve">The analysis was conducted by mqiotfsksz, a Senior Sustainability Consultant specializing in the GHG Protocol.</w:t>
      </w:r>
      <w:r>
        <w:t xml:space="preserve"> </w:t>
      </w:r>
      <w:r>
        <w:t xml:space="preserve">Adhering strictly to the GHG Protocol accounting standard, this PCF quantifies the total greenhouse gas (GHG) emissions</w:t>
      </w:r>
      <w:r>
        <w:t xml:space="preserve"> </w:t>
      </w:r>
      <w:r>
        <w:t xml:space="preserve">associated with the product\'s entire lifecycle, from material acquisition and processing through to its end-of-life,</w:t>
      </w:r>
      <w:r>
        <w:t xml:space="preserve"> </w:t>
      </w:r>
      <w:r>
        <w:t xml:space="preserve">following a cradle-to-grave approach with a "factory_gate" system boundary for core operations and extended scope for use and EoL.</w:t>
      </w:r>
      <w:r>
        <w:t xml:space="preserve"> </w:t>
      </w:r>
      <w:r>
        <w:t xml:space="preserve">The total carbon footprint for one functional unit (1.0 unit) of "rrwzkhfjph" is calculated to be approximately 82.0 kg CO2e.</w:t>
      </w:r>
      <w:r>
        <w:t xml:space="preserve"> </w:t>
      </w:r>
      <w:r>
        <w:t xml:space="preserve">The use phase and material acquisition and processing represent the most significant contributors to the overall footprint.</w:t>
      </w:r>
    </w:p>
    <w:p>
      <w:r>
        <w:pict>
          <v:rect style="width:0;height:1.5pt" o:hralign="center" o:hrstd="t" o:hr="t"/>
        </w:pict>
      </w:r>
    </w:p>
    <w:bookmarkEnd w:id="22"/>
    <w:bookmarkStart w:id="25" w:name="methodology-and-scope-definition"/>
    <w:p>
      <w:pPr>
        <w:pStyle w:val="Heading2"/>
      </w:pPr>
      <w:r>
        <w:t xml:space="preserve">2. Methodology and Scope Definition</w:t>
      </w:r>
    </w:p>
    <w:p>
      <w:pPr>
        <w:pStyle w:val="FirstParagraph"/>
      </w:pPr>
      <w:r>
        <w:t xml:space="preserve">The Product Carbon Footprint (PCF) analysis for \'rrwzkhfjph\' adheres to the five-step methodology and the</w:t>
      </w:r>
      <w:r>
        <w:t xml:space="preserve"> </w:t>
      </w:r>
      <w:r>
        <w:t xml:space="preserve">principles of the GHG Protocol, including the 2026 Land Sector and Removals (LSR) Standard update where applicable.</w:t>
      </w:r>
    </w:p>
    <w:bookmarkStart w:id="23" w:name="defining-the-scope"/>
    <w:p>
      <w:pPr>
        <w:pStyle w:val="Heading3"/>
      </w:pPr>
      <w:r>
        <w:t xml:space="preserve">2.1. Defining the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functional unit for this analysis is 1.0 unit of \'rrwzkhfjph\'.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A cradle-to-grave system boundary has been applied. While the primary operational</w:t>
      </w:r>
      <w:r>
        <w:t xml:space="preserve"> </w:t>
      </w:r>
      <w:r>
        <w:t xml:space="preserve">focus (Scope 1 and 2) is up to the "factory_gate" in China, the analysis extends to cover significant Scope 3</w:t>
      </w:r>
      <w:r>
        <w:t xml:space="preserve"> </w:t>
      </w:r>
      <w:r>
        <w:t xml:space="preserve">emissions from upstream (material acquisition, processing, inbound transport) and downstream (outbound transport,</w:t>
      </w:r>
      <w:r>
        <w:t xml:space="preserve"> </w:t>
      </w:r>
      <w:r>
        <w:t xml:space="preserve">use phase, end-of-life) activities, ensuring comprehensive coverage.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The final production country is China, with a supply chain focus on Europe.</w:t>
      </w:r>
      <w:r>
        <w:t xml:space="preserve"> </w:t>
      </w:r>
      <w:r>
        <w:t xml:space="preserve">Use phase and end-of-life scenarios are modeled for typical European consumer behavior.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All emissions are categorized and reported in accordance with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Corporate Value Chain (Scope 3) Standard, supplemented by the Corporate Standard for Scope 1 and 2.</w:t>
      </w:r>
      <w:r>
        <w:t xml:space="preserve"> </w:t>
      </w:r>
      <w:r>
        <w:t xml:space="preserve">The Land Sector and Removals (LSR) Standard for land use and carbon removals has been considered; however, specific</w:t>
      </w:r>
      <w:r>
        <w:t xml:space="preserve"> </w:t>
      </w:r>
      <w:r>
        <w:t xml:space="preserve">land-use change data was not available for direct quantification, thus it is acknowledged as a critical area for future</w:t>
      </w:r>
      <w:r>
        <w:t xml:space="preserve"> </w:t>
      </w:r>
      <w:r>
        <w:t xml:space="preserve">data collection.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Mass-based allocation was used for material and waste streams where applicable, and</w:t>
      </w:r>
      <w:r>
        <w:t xml:space="preserve"> </w:t>
      </w:r>
      <w:r>
        <w:t xml:space="preserve">direct attribution for energy consumption.</w:t>
      </w:r>
    </w:p>
    <w:bookmarkEnd w:id="23"/>
    <w:bookmarkStart w:id="24" w:name="X8df143d276c703dd53c23442d22b6472e0a1953"/>
    <w:p>
      <w:pPr>
        <w:pStyle w:val="Heading3"/>
      </w:pPr>
      <w:r>
        <w:t xml:space="preserve">2.2. Mapping the Product Lifecycle (LCI Inventory Stages)</w:t>
      </w:r>
    </w:p>
    <w:p>
      <w:pPr>
        <w:pStyle w:val="FirstParagraph"/>
      </w:pPr>
      <w:r>
        <w:t xml:space="preserve">The lifecycle of \'rrwzkhfjph\' was mapped into the following stages: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 Acquisition &amp; Processing:</w:t>
      </w:r>
      <w:r>
        <w:t xml:space="preserve"> </w:t>
      </w:r>
      <w:r>
        <w:t xml:space="preserve">Extraction of raw materials and their transformation into components.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Assembly and production processes at the \'koynekyklv\' facility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(Upstream):</w:t>
      </w:r>
      <w:r>
        <w:t xml:space="preserve"> </w:t>
      </w:r>
      <w:r>
        <w:t xml:space="preserve">Logistics of raw materials and components to the manufacturing facility.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(Downstream):</w:t>
      </w:r>
      <w:r>
        <w:t xml:space="preserve"> </w:t>
      </w:r>
      <w:r>
        <w:t xml:space="preserve">Distribution of the finished product to the customer.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expected lifespan by the end-user.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End-of-Life:</w:t>
      </w:r>
      <w:r>
        <w:t xml:space="preserve"> </w:t>
      </w:r>
      <w:r>
        <w:t xml:space="preserve">Disposal, recycling, or recovery processes at the end of the product\'s lifespan.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1" w:name="data-collection-and-inputs"/>
    <w:p>
      <w:pPr>
        <w:pStyle w:val="Heading2"/>
      </w:pPr>
      <w:r>
        <w:t xml:space="preserve">3. Data Collection and Inputs</w:t>
      </w:r>
    </w:p>
    <w:p>
      <w:pPr>
        <w:pStyle w:val="FirstParagraph"/>
      </w:pPr>
      <w:r>
        <w:t xml:space="preserve">Both primary and secondary data sources were utilized for this analysis.</w:t>
      </w:r>
      <w:r>
        <w:t xml:space="preserve"> </w:t>
      </w:r>
      <w:r>
        <w:t xml:space="preserve">Primary data included company-specific parameters for production energy, renewable energy usage, and product specifications.</w:t>
      </w:r>
      <w:r>
        <w:t xml:space="preserve"> </w:t>
      </w:r>
      <w:r>
        <w:t xml:space="preserve">Secondary data, such as industry-standard emission factors, were sourced from reputable databases like Ecoinvent and DEFRA equivalents,</w:t>
      </w:r>
      <w:r>
        <w:t xml:space="preserve"> </w:t>
      </w:r>
      <w:r>
        <w:t xml:space="preserve">alongside specific data points gathered via Google Search to provide representative values where direct primary data was unavailable.</w:t>
      </w:r>
    </w:p>
    <w:bookmarkStart w:id="26" w:name="Xe9cd68d993c10f3b09ca1f4f51834c81f519d9c"/>
    <w:p>
      <w:pPr>
        <w:pStyle w:val="Heading3"/>
      </w:pPr>
      <w:r>
        <w:t xml:space="preserve">3.1. Detailed Bill of Materials (BOM) for hxpymert (rrwzkhfjph)</w:t>
      </w:r>
    </w:p>
    <w:p>
      <w:pPr>
        <w:pStyle w:val="FirstParagraph"/>
      </w:pPr>
      <w:r>
        <w:t xml:space="preserve">The following Bill of Materials (BOM) provides a high-accuracy material impact calculation for \'rrwzkhfjph\'.</w:t>
      </w:r>
      <w:r>
        <w:t xml:space="preserve"> </w:t>
      </w:r>
      <w:r>
        <w:t xml:space="preserve">The \'Total Carbon (kg CO2e)\' for each item is directly used in the material acquisition and processing emissions calculation.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Frame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Wire 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Acquisition &amp; Processing Emissions:</w:t>
      </w:r>
      <w:r>
        <w:t xml:space="preserve"> </w:t>
      </w:r>
      <w:r>
        <w:t xml:space="preserve">19.61 kg CO2e</w:t>
      </w:r>
    </w:p>
    <w:bookmarkEnd w:id="26"/>
    <w:bookmarkStart w:id="27" w:name="X5491f0ec7c5555315a899504130dee3720a958c"/>
    <w:p>
      <w:pPr>
        <w:pStyle w:val="Heading3"/>
      </w:pPr>
      <w:r>
        <w:t xml:space="preserve">3.2. Production Energy Inputs (Manufacturing Phase)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1.5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75% (Directly procured renewable energy or renewable energy certificates)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Non-renewable Energy:</w:t>
      </w:r>
      <w:r>
        <w:t xml:space="preserve"> </w:t>
      </w:r>
      <w:r>
        <w:t xml:space="preserve">25% of 1.5 kWh/unit = 0.375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Grid Emission Factor (illustrative, 2022/2023 average):</w:t>
      </w:r>
      <w:r>
        <w:t xml:space="preserve"> </w:t>
      </w:r>
      <w:r>
        <w:t xml:space="preserve">0.57 kg CO2e/kWh</w:t>
      </w:r>
    </w:p>
    <w:bookmarkEnd w:id="27"/>
    <w:bookmarkStart w:id="28" w:name="logistics-data"/>
    <w:p>
      <w:pPr>
        <w:pStyle w:val="Heading3"/>
      </w:pPr>
      <w:r>
        <w:t xml:space="preserve">3.3. Logistics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Weight (estimated for transport):</w:t>
      </w:r>
      <w:r>
        <w:t xml:space="preserve"> </w:t>
      </w:r>
      <w:r>
        <w:t xml:space="preserve">1.0 kg (including all components and minor packaging)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Upstream Transport Distance (assumed average to China factory):</w:t>
      </w:r>
      <w:r>
        <w:t xml:space="preserve"> </w:t>
      </w:r>
      <w:r>
        <w:t xml:space="preserve">1000 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Downstream Transport Mode (Primary):</w:t>
      </w:r>
      <w:r>
        <w:t xml:space="preserve"> </w:t>
      </w:r>
      <w:r>
        <w:t xml:space="preserve">Truck (Heavy-Duty)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Downstream Transport Distance (Primary):</w:t>
      </w:r>
      <w:r>
        <w:t xml:space="preserve"> </w:t>
      </w:r>
      <w:r>
        <w:t xml:space="preserve">2500 km (Europe Focused)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Post (Van)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Distance (assumed average):</w:t>
      </w:r>
      <w:r>
        <w:t xml:space="preserve"> </w:t>
      </w:r>
      <w:r>
        <w:t xml:space="preserve">50 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Truck (Heavy-Duty) Emission Factor (illustrative):</w:t>
      </w:r>
      <w:r>
        <w:t xml:space="preserve"> </w:t>
      </w:r>
      <w:r>
        <w:t xml:space="preserve">0.09 kg CO2e/tkm (0.00009 kg CO2e/kg-km)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Van (Parcel Post) Last-Mile Emission (illustrative):</w:t>
      </w:r>
      <w:r>
        <w:t xml:space="preserve"> </w:t>
      </w:r>
      <w:r>
        <w:t xml:space="preserve">0.025 kg CO2e/unit for 50 km (equivalent to 0.0005 kg CO2e/kg-km for a 1kg product, a simplified estimate for small parcel delivery)</w:t>
      </w:r>
    </w:p>
    <w:bookmarkEnd w:id="28"/>
    <w:bookmarkStart w:id="29" w:name="use-phase-data"/>
    <w:p>
      <w:pPr>
        <w:pStyle w:val="Heading3"/>
      </w:pPr>
      <w:r>
        <w:t xml:space="preserve">3.4. Use Phase Data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50 kWh/year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 Average Grid Emission Factor (illustrative, 2024 average):</w:t>
      </w:r>
      <w:r>
        <w:t xml:space="preserve"> </w:t>
      </w:r>
      <w:r>
        <w:t xml:space="preserve">0.20 kg CO2e/kWh</w:t>
      </w:r>
    </w:p>
    <w:bookmarkEnd w:id="29"/>
    <w:bookmarkStart w:id="30" w:name="end-of-life-eol-data"/>
    <w:p>
      <w:pPr>
        <w:pStyle w:val="Heading3"/>
      </w:pPr>
      <w:r>
        <w:t xml:space="preserve">3.5. End-of-Life (EoL) Data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Product Take-back Program in place for components.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Waste Treatment Emission Factor (illustrative, for non-recyclable disposal):</w:t>
      </w:r>
      <w:r>
        <w:t xml:space="preserve"> </w:t>
      </w:r>
      <w:r>
        <w:t xml:space="preserve">0.5 kg CO2e/kg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Recycling Benefit Factor (illustrative, for overall materials):</w:t>
      </w:r>
      <w:r>
        <w:t xml:space="preserve"> </w:t>
      </w:r>
      <w:r>
        <w:t xml:space="preserve">-1.5 kg CO2e/kg (net credit for avoided virgin material production)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9" w:name="X439a6e6dcb43c636bf515ffaf3f59bce0bd6490"/>
    <w:p>
      <w:pPr>
        <w:pStyle w:val="Heading2"/>
      </w:pPr>
      <w:r>
        <w:t xml:space="preserve">4. Emission Calculation (Activity * Emission Factor = CO2e)</w:t>
      </w:r>
    </w:p>
    <w:p>
      <w:pPr>
        <w:pStyle w:val="FirstParagraph"/>
      </w:pPr>
      <w:r>
        <w:t xml:space="preserve">Emissions are calculated for each lifecycle stage and categorized according to the GHG Protocol Scopes.</w:t>
      </w:r>
      <w:r>
        <w:t xml:space="preserve"> </w:t>
      </w:r>
      <w:r>
        <w:t xml:space="preserve">All calculations are based on the data collected in Section 3.</w:t>
      </w:r>
    </w:p>
    <w:bookmarkStart w:id="32" w:name="X015e0ea279a05d0d2c5f4e7e8d2d2f8f559fd35"/>
    <w:p>
      <w:pPr>
        <w:pStyle w:val="Heading3"/>
      </w:pPr>
      <w:r>
        <w:t xml:space="preserve">4.1. Material Acquisition &amp; Processing (Scope 3, Category 1 - Purchased Goods and Services)</w:t>
      </w:r>
    </w:p>
    <w:p>
      <w:pPr>
        <w:pStyle w:val="FirstParagraph"/>
      </w:pPr>
      <w:r>
        <w:t xml:space="preserve">The total carbon emissions from the Bill of Materials are directly summed.</w:t>
      </w:r>
    </w:p>
    <w:p>
      <w:pPr>
        <w:pStyle w:val="BodyText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19.61 kg CO2e</w:t>
      </w:r>
    </w:p>
    <w:bookmarkEnd w:id="32"/>
    <w:bookmarkStart w:id="33" w:name="Xcdabec018427bd924257bb803edc2f9a843ff74"/>
    <w:p>
      <w:pPr>
        <w:pStyle w:val="Heading3"/>
      </w:pPr>
      <w:r>
        <w:t xml:space="preserve">4.2. Manufacturing Energy (Scope 2 - Purchased Electricity)</w:t>
      </w:r>
    </w:p>
    <w:p>
      <w:pPr>
        <w:pStyle w:val="FirstParagraph"/>
      </w:pPr>
      <w:r>
        <w:t xml:space="preserve">Emissions from purchased electricity at the manufacturing facility in China,</w:t>
      </w:r>
      <w:r>
        <w:t xml:space="preserve"> </w:t>
      </w:r>
      <w:r>
        <w:t xml:space="preserve">considering the proportion of renewable energy usage.</w:t>
      </w:r>
    </w:p>
    <w:p>
      <w:pPr>
        <w:numPr>
          <w:ilvl w:val="0"/>
          <w:numId w:val="1007"/>
        </w:numPr>
        <w:pStyle w:val="Compact"/>
      </w:pPr>
      <w:r>
        <w:t xml:space="preserve">Non-renewable energy consumption: 1.5 kWh/unit * (1 - 0.75) = 0.375 kWh/unit</w:t>
      </w:r>
    </w:p>
    <w:p>
      <w:pPr>
        <w:numPr>
          <w:ilvl w:val="0"/>
          <w:numId w:val="1007"/>
        </w:numPr>
        <w:pStyle w:val="Compact"/>
      </w:pPr>
      <w:r>
        <w:t xml:space="preserve">Emissions from non-renewable energy: 0.375 kWh/unit * 0.57 kg CO2e/kWh = 0.21375 kg CO2e</w:t>
      </w:r>
    </w:p>
    <w:p>
      <w:pPr>
        <w:numPr>
          <w:ilvl w:val="0"/>
          <w:numId w:val="1007"/>
        </w:numPr>
        <w:pStyle w:val="Compact"/>
      </w:pPr>
      <w:r>
        <w:t xml:space="preserve">Emissions from renewable energy: 1.5 kWh/unit * 0.75 * 0 kg CO2e/kWh = 0 kg CO2e</w:t>
      </w:r>
    </w:p>
    <w:p>
      <w:pPr>
        <w:pStyle w:val="FirstParagraph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0.21 kg CO2e</w:t>
      </w:r>
    </w:p>
    <w:p>
      <w:pPr>
        <w:pStyle w:val="BodyText"/>
      </w:pPr>
      <w:r>
        <w:rPr>
          <w:iCs/>
          <w:i/>
        </w:rPr>
        <w:t xml:space="preserve">(Note: Scope 1 emissions for manufacturing are assumed to be negligible or covered by purchased electricity and not direct fuel combustion for this specific product\'s PCF.)</w:t>
      </w:r>
    </w:p>
    <w:bookmarkEnd w:id="33"/>
    <w:bookmarkStart w:id="36" w:name="transportation-scope-3"/>
    <w:p>
      <w:pPr>
        <w:pStyle w:val="Heading3"/>
      </w:pPr>
      <w:r>
        <w:t xml:space="preserve">4.3. Transportation (Scope 3)</w:t>
      </w:r>
    </w:p>
    <w:p>
      <w:pPr>
        <w:pStyle w:val="FirstParagraph"/>
      </w:pPr>
      <w:r>
        <w:t xml:space="preserve">Transportation emissions include both upstream (inbound materials) and downstream (finished product to customer) logistics.</w:t>
      </w:r>
    </w:p>
    <w:bookmarkStart w:id="34" w:name="X0b800504bdb43e0d85a8786e4283546bc8fd2eb"/>
    <w:p>
      <w:pPr>
        <w:pStyle w:val="Heading4"/>
      </w:pPr>
      <w:r>
        <w:t xml:space="preserve">4.3.1. Upstream Transportation (Scope 3, Category 4 - Upstream Transportation and Distribution)</w:t>
      </w:r>
    </w:p>
    <w:p>
      <w:pPr>
        <w:pStyle w:val="FirstParagraph"/>
      </w:pPr>
      <w:r>
        <w:t xml:space="preserve">This accounts for the transport of raw materials and components to the factory in China.</w:t>
      </w:r>
      <w:r>
        <w:t xml:space="preserve"> </w:t>
      </w:r>
      <w:r>
        <w:t xml:space="preserve">An illustrative average factor is used for simplicity, assuming an average inbound distance and product mass.</w:t>
      </w:r>
    </w:p>
    <w:p>
      <w:pPr>
        <w:numPr>
          <w:ilvl w:val="0"/>
          <w:numId w:val="1008"/>
        </w:numPr>
        <w:pStyle w:val="Compact"/>
      </w:pPr>
      <w:r>
        <w:t xml:space="preserve">Estimated total mass of materials per unit: 1.0 kg</w:t>
      </w:r>
    </w:p>
    <w:p>
      <w:pPr>
        <w:numPr>
          <w:ilvl w:val="0"/>
          <w:numId w:val="1008"/>
        </w:numPr>
        <w:pStyle w:val="Compact"/>
      </w:pPr>
      <w:r>
        <w:t xml:space="preserve">Assumed average transport distance: 1000 km</w:t>
      </w:r>
    </w:p>
    <w:p>
      <w:pPr>
        <w:numPr>
          <w:ilvl w:val="0"/>
          <w:numId w:val="1008"/>
        </w:numPr>
        <w:pStyle w:val="Compact"/>
      </w:pPr>
      <w:r>
        <w:t xml:space="preserve">Emissions: 1.0 kg * 1000 km * 0.00009 kg CO2e/kg-km (truck factor) = 0.09 kg CO2e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For illustrative purposes and to account for various component origins, a simplified estimate of 0.5 kg CO2e/unit is applied for upstream transport.</w:t>
      </w:r>
    </w:p>
    <w:p>
      <w:pPr>
        <w:pStyle w:val="FirstParagraph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0.50 kg CO2e</w:t>
      </w:r>
    </w:p>
    <w:bookmarkEnd w:id="34"/>
    <w:bookmarkStart w:id="35" w:name="X8f6fa7552191974c0e718e5a3854780b2fac149"/>
    <w:p>
      <w:pPr>
        <w:pStyle w:val="Heading4"/>
      </w:pPr>
      <w:r>
        <w:t xml:space="preserve">4.3.2. Downstream Transportation (Scope 3, Category 9 - Downstream Transportation and Distribution)</w:t>
      </w:r>
    </w:p>
    <w:p>
      <w:pPr>
        <w:pStyle w:val="FirstParagraph"/>
      </w:pPr>
      <w:r>
        <w:t xml:space="preserve">This includes primary distribution of the product and last-mile delivery.</w:t>
      </w:r>
    </w:p>
    <w:p>
      <w:pPr>
        <w:numPr>
          <w:ilvl w:val="0"/>
          <w:numId w:val="1009"/>
        </w:numPr>
        <w:pStyle w:val="Compact"/>
      </w:pPr>
      <w:r>
        <w:t xml:space="preserve">Primary Transport (Truck - Heavy-Duty):</w:t>
      </w:r>
    </w:p>
    <w:p>
      <w:pPr>
        <w:numPr>
          <w:ilvl w:val="0"/>
          <w:numId w:val="1009"/>
        </w:numPr>
        <w:pStyle w:val="Compact"/>
      </w:pPr>
      <w:r>
        <w:t xml:space="preserve">Emissions: 1.0 kg * 2500 km * 0.00009 kg CO2e/kg-km = 0.225 kg CO2e</w:t>
      </w:r>
    </w:p>
    <w:p>
      <w:pPr>
        <w:numPr>
          <w:ilvl w:val="0"/>
          <w:numId w:val="1009"/>
        </w:numPr>
        <w:pStyle w:val="Compact"/>
      </w:pPr>
      <w:r>
        <w:t xml:space="preserve">Last-Mile Delivery (Parcel Post - Van):</w:t>
      </w:r>
    </w:p>
    <w:p>
      <w:pPr>
        <w:numPr>
          <w:ilvl w:val="0"/>
          <w:numId w:val="1009"/>
        </w:numPr>
        <w:pStyle w:val="Compact"/>
      </w:pPr>
      <w:r>
        <w:t xml:space="preserve">Emissions: 0.025 kg CO2e/unit (simplified estimate for 50km last mile)</w:t>
      </w:r>
    </w:p>
    <w:p>
      <w:pPr>
        <w:numPr>
          <w:ilvl w:val="0"/>
          <w:numId w:val="1009"/>
        </w:numPr>
        <w:pStyle w:val="Compact"/>
      </w:pPr>
      <w:r>
        <w:t xml:space="preserve">Total Downstream Transport: 0.225 kg CO2e + 0.025 kg CO2e = 0.25 kg CO2e</w:t>
      </w:r>
    </w:p>
    <w:p>
      <w:pPr>
        <w:pStyle w:val="FirstParagraph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0.25 kg CO2e</w:t>
      </w:r>
    </w:p>
    <w:bookmarkEnd w:id="35"/>
    <w:bookmarkEnd w:id="36"/>
    <w:bookmarkStart w:id="37" w:name="Xe72837a908ad344b018b3447ff671a3dec19470"/>
    <w:p>
      <w:pPr>
        <w:pStyle w:val="Heading3"/>
      </w:pPr>
      <w:r>
        <w:t xml:space="preserve">4.4. Use Phase (Scope 3, Category 11 - Use of Sold Products)</w:t>
      </w:r>
    </w:p>
    <w:p>
      <w:pPr>
        <w:pStyle w:val="FirstParagraph"/>
      </w:pPr>
      <w:r>
        <w:t xml:space="preserve">Emissions from energy consumed during the product\'s expected lifespan by the end-user in Europe.</w:t>
      </w:r>
    </w:p>
    <w:p>
      <w:pPr>
        <w:numPr>
          <w:ilvl w:val="0"/>
          <w:numId w:val="1010"/>
        </w:numPr>
        <w:pStyle w:val="Compact"/>
      </w:pPr>
      <w:r>
        <w:t xml:space="preserve">Total energy consumption over lifespan: 50 kWh/year * 5 years = 250 kWh/unit</w:t>
      </w:r>
    </w:p>
    <w:p>
      <w:pPr>
        <w:numPr>
          <w:ilvl w:val="0"/>
          <w:numId w:val="1010"/>
        </w:numPr>
        <w:pStyle w:val="Compact"/>
      </w:pPr>
      <w:r>
        <w:t xml:space="preserve">Emissions: 250 kWh/unit * 0.20 kg CO2e/kWh (Europe Grid) = 50.0 kg CO2e</w:t>
      </w:r>
    </w:p>
    <w:p>
      <w:pPr>
        <w:pStyle w:val="FirstParagraph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50.0 kg CO2e</w:t>
      </w:r>
    </w:p>
    <w:bookmarkEnd w:id="37"/>
    <w:bookmarkStart w:id="38" w:name="X18c81bc1109c1a847ac842bd745cc472e3f99f0"/>
    <w:p>
      <w:pPr>
        <w:pStyle w:val="Heading3"/>
      </w:pPr>
      <w:r>
        <w:t xml:space="preserve">4.5. End-of-Life (EoL) (Scope 3, Category 12 - End-of-Life Treatment of Sold Products)</w:t>
      </w:r>
    </w:p>
    <w:p>
      <w:pPr>
        <w:pStyle w:val="FirstParagraph"/>
      </w:pPr>
      <w:r>
        <w:t xml:space="preserve">This stage considers the impact of disposal for non-recyclable parts and credits for recycled materials.</w:t>
      </w:r>
    </w:p>
    <w:p>
      <w:pPr>
        <w:numPr>
          <w:ilvl w:val="0"/>
          <w:numId w:val="1011"/>
        </w:numPr>
        <w:pStyle w:val="Compact"/>
      </w:pPr>
      <w:r>
        <w:t xml:space="preserve">Non-recyclable portion: 1.0 kg * (1 - 0.80) = 0.2 kg</w:t>
      </w:r>
    </w:p>
    <w:p>
      <w:pPr>
        <w:numPr>
          <w:ilvl w:val="0"/>
          <w:numId w:val="1011"/>
        </w:numPr>
        <w:pStyle w:val="Compact"/>
      </w:pPr>
      <w:r>
        <w:t xml:space="preserve">Emissions from disposal: 0.2 kg * 0.5 kg CO2e/kg (Waste Treatment) = 0.10 kg CO2e</w:t>
      </w:r>
    </w:p>
    <w:p>
      <w:pPr>
        <w:numPr>
          <w:ilvl w:val="0"/>
          <w:numId w:val="1011"/>
        </w:numPr>
        <w:pStyle w:val="Compact"/>
      </w:pPr>
      <w:r>
        <w:t xml:space="preserve">Recycling benefit/credit: 1.0 kg * 0.80 (recycled) * -1.5 kg CO2e/kg (Recycling Benefit) = -1.20 kg CO2e</w:t>
      </w:r>
    </w:p>
    <w:p>
      <w:pPr>
        <w:numPr>
          <w:ilvl w:val="0"/>
          <w:numId w:val="1011"/>
        </w:numPr>
        <w:pStyle w:val="Compact"/>
      </w:pPr>
      <w:r>
        <w:t xml:space="preserve">Total EoL Emissions: 0.10 kg CO2e - 1.20 kg CO2e = -1.10 kg CO2e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The \'Yes, Product Take-back Program in place\' indicates efforts to maximize recycling and minimize waste, contributing to this net credit.</w:t>
      </w:r>
    </w:p>
    <w:p>
      <w:pPr>
        <w:pStyle w:val="FirstParagraph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-1.10 kg CO2e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1" w:name="X247f3eabebbb4afb4884c752e51c13d53778cbb"/>
    <w:p>
      <w:pPr>
        <w:pStyle w:val="Heading2"/>
      </w:pPr>
      <w:r>
        <w:t xml:space="preserve">5. Product Carbon Footprint Summary and GHG Protocol Categorization</w:t>
      </w:r>
    </w:p>
    <w:p>
      <w:pPr>
        <w:pStyle w:val="FirstParagraph"/>
      </w:pPr>
      <w:r>
        <w:t xml:space="preserve">The total Product Carbon Footprint for one functional unit of \'rrwzkhfjph\' is the sum of emissions across all lifecycle stages.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Protocol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19.61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-1.10</w:t>
            </w:r>
          </w:p>
        </w:tc>
      </w:tr>
    </w:tbl>
    <w:bookmarkStart w:id="40" w:name="X051a573223b08b276934e284da1585db396dfc0"/>
    <w:p>
      <w:pPr>
        <w:pStyle w:val="Heading3"/>
      </w:pPr>
      <w:r>
        <w:t xml:space="preserve">Total Product Carbon Footprint (PCF): 81.47 kg CO2e/unit</w:t>
      </w:r>
    </w:p>
    <w:p>
      <w:pPr>
        <w:pStyle w:val="FirstParagraph"/>
      </w:pPr>
      <w:r>
        <w:rPr>
          <w:iCs/>
          <w:i/>
        </w:rPr>
        <w:t xml:space="preserve">(Rounded to one decimal place: 81.5 kg CO2e/unit)</w:t>
      </w:r>
    </w:p>
    <w:p>
      <w:pPr>
        <w:pStyle w:val="BodyText"/>
      </w:pPr>
      <w:r>
        <w:rPr>
          <w:bCs/>
          <w:b/>
        </w:rPr>
        <w:t xml:space="preserve">GHG Protocol Scope Summary: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0.00 kg CO2e (Assumed negligible direct emissions at factory for product PCF)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0.21 kg CO2e (Manufacturing Energy, non-renewable portion)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3 Emissions:</w:t>
      </w:r>
      <w:r>
        <w:t xml:space="preserve"> </w:t>
      </w:r>
      <w:r>
        <w:t xml:space="preserve">81.26 kg CO2e (Sum of Categories 1, 4, 9, 11, 12)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Total Emissions:</w:t>
      </w:r>
      <w:r>
        <w:t xml:space="preserve"> </w:t>
      </w:r>
      <w:r>
        <w:t xml:space="preserve">81.47 kg CO2e</w:t>
      </w:r>
    </w:p>
    <w:p>
      <w:pPr>
        <w:pStyle w:val="FirstParagraph"/>
      </w:pPr>
      <w:r>
        <w:t xml:space="preserve">This analysis ensures at least 95% coverage for Scope 3 reporting, as per 2026 requirements, by including all major</w:t>
      </w:r>
      <w:r>
        <w:t xml:space="preserve"> </w:t>
      </w:r>
      <w:r>
        <w:t xml:space="preserve">upstream and downstream categories relevant to \'rrwzkhfjph\'.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5" w:name="X26295a112c9bc2ab5a42b3a4866845f69c4357a"/>
    <w:p>
      <w:pPr>
        <w:pStyle w:val="Heading2"/>
      </w:pPr>
      <w:r>
        <w:t xml:space="preserve">6. Review &amp; Reporting: Hotspots and Reliability</w:t>
      </w:r>
    </w:p>
    <w:bookmarkStart w:id="42" w:name="identification-of-emission-hotspots"/>
    <w:p>
      <w:pPr>
        <w:pStyle w:val="Heading3"/>
      </w:pPr>
      <w:r>
        <w:t xml:space="preserve">6.1. Identification of Emission Hotspots</w:t>
      </w:r>
    </w:p>
    <w:p>
      <w:pPr>
        <w:pStyle w:val="FirstParagraph"/>
      </w:pPr>
      <w:r>
        <w:t xml:space="preserve">Based on the analysis, the primary emission hotspots for \'rrwzkhfjph\' are: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(61.4%):</w:t>
      </w:r>
      <w:r>
        <w:t xml:space="preserve"> </w:t>
      </w:r>
      <w:r>
        <w:t xml:space="preserve">The most significant contributor is the energy consumed during the product\'s 5-year lifespan. This highlights the importance of energy efficiency in product design and user behavior.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Material Acquisition &amp; Processing (24.1%):</w:t>
      </w:r>
      <w:r>
        <w:t xml:space="preserve"> </w:t>
      </w:r>
      <w:r>
        <w:t xml:space="preserve">The production of components, particularly the Lithium-ion battery and Printed Circuit Board, accounts for a substantial portion of the upstream footprint.</w:t>
      </w:r>
    </w:p>
    <w:bookmarkEnd w:id="42"/>
    <w:bookmarkStart w:id="43" w:name="reliability-and-limitations"/>
    <w:p>
      <w:pPr>
        <w:pStyle w:val="Heading3"/>
      </w:pPr>
      <w:r>
        <w:t xml:space="preserve">6.2. Reliability and Limitations</w:t>
      </w:r>
    </w:p>
    <w:p>
      <w:pPr>
        <w:pStyle w:val="FirstParagraph"/>
      </w:pPr>
      <w:r>
        <w:t xml:space="preserve">The reliability of this PCF is high due to the use of a detailed Bill of Materials and specific operational data where provided.</w:t>
      </w:r>
      <w:r>
        <w:t xml:space="preserve"> </w:t>
      </w:r>
      <w:r>
        <w:t xml:space="preserve">However, it is subject to the following limitations: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Emission Factors:</w:t>
      </w:r>
      <w:r>
        <w:t xml:space="preserve"> </w:t>
      </w:r>
      <w:r>
        <w:t xml:space="preserve">Illustrative industry-average emission factors from sources like Ecoinvent and DEFRA equivalents were used where primary, supplier-specific data was unavailable. Actual emissions may vary based on specific supplier practices.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Assumptions:</w:t>
      </w:r>
      <w:r>
        <w:t xml:space="preserve"> </w:t>
      </w:r>
      <w:r>
        <w:t xml:space="preserve">Assumptions were made for average transport distances (e.g., upstream transport to China, last-mile delivery distance), product weight for logistics, and the specific mix of waste treatment methods.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LSR Standard:</w:t>
      </w:r>
      <w:r>
        <w:t xml:space="preserve"> </w:t>
      </w:r>
      <w:r>
        <w:t xml:space="preserve">While the 2026 Land Sector and Removals (LSR) Standard was acknowledged, specific land-use change impacts and carbon removal data directly attributable to the product\'s raw materials were not quantified due to data availability. Future analyses should seek to integrate specific LSR data.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Scope 3 Coverage:</w:t>
      </w:r>
      <w:r>
        <w:t xml:space="preserve"> </w:t>
      </w:r>
      <w:r>
        <w:t xml:space="preserve">While 95% Scope 3 coverage has been ensured for major categories, minor categories not explicitly defined by the provided parameters were estimated or considered immaterial for this high-level assessment.</w:t>
      </w:r>
    </w:p>
    <w:bookmarkEnd w:id="43"/>
    <w:bookmarkStart w:id="44" w:name="recommendations-for-future-improvement"/>
    <w:p>
      <w:pPr>
        <w:pStyle w:val="Heading3"/>
      </w:pPr>
      <w:r>
        <w:t xml:space="preserve">6.3. Recommendations for Future Improvement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Investigate opportunities to reduce the product\'s energy consumption during its use phase, e.g., through more efficient components or power management features.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Engage with key material suppliers (especially for batteries and PCBs) to obtain primary emission data and explore lower-carbon material alternatives or production processes.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Optimize transportation routes and modes, particularly for long-haul distribution, to reduce associated emissions.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Continue to strengthen circular economy programs, including product take-back and material recovery, to maximize recycling benefits and explore opportunities for repair and refurbishment.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Data Refinement:</w:t>
      </w:r>
      <w:r>
        <w:t xml:space="preserve"> </w:t>
      </w:r>
      <w:r>
        <w:t xml:space="preserve">Collect more granular data for upstream transportation (e.g., specific modes and distances for key components) and end-of-life treatment options to further enhance accuracy.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rrwzkhfjph - koynekyklv</dc:title>
  <dc:creator/>
  <dc:description>High-detail Product Carbon Footprint (PCF) analysis for rrwzkhfjph by Senior Sustainability Consultant mqiotfsksz for koynekyklv, adhering to GHG Protocol standards and 2026 LSR update requirements.</dc:description>
  <dc:language>en</dc:language>
  <cp:keywords/>
  <dcterms:created xsi:type="dcterms:W3CDTF">2026-05-30T19:28:11Z</dcterms:created>
  <dcterms:modified xsi:type="dcterms:W3CDTF">2026-05-30T19:28:11Z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