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rropmzvqfp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Product Name:</w:t>
      </w:r>
      <w:r>
        <w:t xml:space="preserve"> </w:t>
      </w:r>
      <w:r>
        <w:t xml:space="preserve">rropmzvqfp</w:t>
      </w:r>
    </w:p>
    <w:p>
      <w:pPr>
        <w:pStyle w:val="BodyText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rthmewxlpu</w:t>
      </w:r>
    </w:p>
    <w:p>
      <w:pPr>
        <w:pStyle w:val="BodyText"/>
      </w:pPr>
      <w:r>
        <w:rPr>
          <w:bCs/>
          <w:b/>
        </w:rPr>
        <w:t xml:space="preserve">Protocol Data (Accounting Standard):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xfvfoxstym</w:t>
      </w:r>
    </w:p>
    <w:p>
      <w:pPr>
        <w:pStyle w:val="BodyText"/>
      </w:pPr>
      <w:r>
        <w:t xml:space="preserve">Disclaimer: This report is generated based on available data and industry standards.</w:t>
      </w:r>
      <w:r>
        <w:t xml:space="preserve"> </w:t>
      </w:r>
      <w:r>
        <w:t xml:space="preserve">The calculations presented are illustrative and rely on assumptions for placeholder values</w:t>
      </w:r>
      <w:r>
        <w:t xml:space="preserve"> </w:t>
      </w:r>
      <w:r>
        <w:t xml:space="preserve">where specific data was not provided. For definitive results, precise primary data</w:t>
      </w:r>
      <w:r>
        <w:t xml:space="preserve"> </w:t>
      </w:r>
      <w:r>
        <w:t xml:space="preserve">and detailed supply chain information would be required.</w:t>
      </w:r>
    </w:p>
    <w:bookmarkEnd w:id="20"/>
    <w:bookmarkStart w:id="45" w:name="X60ca52e97e751fb310c63337cb4b082ce1f250d"/>
    <w:p>
      <w:pPr>
        <w:pStyle w:val="Heading1"/>
      </w:pPr>
      <w:r>
        <w:t xml:space="preserve">Product Carbon Footprint Analysis Report for rropmzvqfp</w:t>
      </w:r>
    </w:p>
    <w:p>
      <w:pPr>
        <w:pStyle w:val="FirstParagraph"/>
      </w:pPr>
      <w:r>
        <w:rPr>
          <w:bCs/>
          <w:b/>
        </w:rPr>
        <w:t xml:space="preserve">Generated Date:</w:t>
      </w:r>
      <w:r>
        <w:t xml:space="preserve"> </w:t>
      </w:r>
      <w:r>
        <w:t xml:space="preserve">May 24, 2026</w:t>
      </w:r>
    </w:p>
    <w:p>
      <w:r>
        <w:pict>
          <v:rect style="width:0;height:1.5pt" o:hralign="center" o:hrstd="t" o:hr="t"/>
        </w:pict>
      </w:r>
    </w:p>
    <w:bookmarkStart w:id="21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 the product "rropmzvqfp"</w:t>
      </w:r>
      <w:r>
        <w:t xml:space="preserve"> </w:t>
      </w:r>
      <w:r>
        <w:t xml:space="preserve">manufactured by "rthmewxlpu", in accordance with the GHG Protocol standards. The analysis was conducted by</w:t>
      </w:r>
      <w:r>
        <w:t xml:space="preserve"> </w:t>
      </w:r>
      <w:r>
        <w:t xml:space="preserve">xfvfoxstym, a Senior Sustainability Consultant. It aims to quantify the greenhouse gas (GHG) emissions</w:t>
      </w:r>
      <w:r>
        <w:t xml:space="preserve"> </w:t>
      </w:r>
      <w:r>
        <w:t xml:space="preserve">associated with the product\'s lifecycle, from material extraction to factory gate, incorporating specific</w:t>
      </w:r>
      <w:r>
        <w:t xml:space="preserve"> </w:t>
      </w:r>
      <w:r>
        <w:t xml:space="preserve">parameters for production, use phase, and end-of-life scenarios. The report adheres to the 2026 LSR Update</w:t>
      </w:r>
      <w:r>
        <w:t xml:space="preserve"> </w:t>
      </w:r>
      <w:r>
        <w:t xml:space="preserve">for land use and carbon removals and ensures comprehensive Scope 3 coverage.</w:t>
      </w:r>
      <w:r>
        <w:t xml:space="preserve"> </w:t>
      </w:r>
      <w:r>
        <w:t xml:space="preserve">The findings highlight key emission hotspots and provide a foundational understanding for targeted</w:t>
      </w:r>
      <w:r>
        <w:t xml:space="preserve"> </w:t>
      </w:r>
      <w:r>
        <w:t xml:space="preserve">decarbonization efforts.</w:t>
      </w:r>
    </w:p>
    <w:p>
      <w:r>
        <w:pict>
          <v:rect style="width:0;height:1.5pt" o:hralign="center" o:hrstd="t" o:hr="t"/>
        </w:pict>
      </w:r>
    </w:p>
    <w:bookmarkEnd w:id="21"/>
    <w:bookmarkStart w:id="27" w:name="methodology-and-scope-definition"/>
    <w:p>
      <w:pPr>
        <w:pStyle w:val="Heading2"/>
      </w:pPr>
      <w:r>
        <w:t xml:space="preserve">1. Methodology and Scope Definition</w:t>
      </w:r>
    </w:p>
    <w:p>
      <w:pPr>
        <w:pStyle w:val="FirstParagraph"/>
      </w:pPr>
      <w:r>
        <w:t xml:space="preserve">The Product Carbon Footprint (PCF) analysis for rropmzvqfp follows a robust methodology based on</w:t>
      </w:r>
      <w:r>
        <w:t xml:space="preserve"> </w:t>
      </w:r>
      <w:r>
        <w:t xml:space="preserve">the GHG Protocol Product Standard.</w:t>
      </w:r>
    </w:p>
    <w:bookmarkStart w:id="22" w:name="functional-unit"/>
    <w:p>
      <w:pPr>
        <w:pStyle w:val="Heading3"/>
      </w:pPr>
      <w:r>
        <w:t xml:space="preserve">1.1. Functional Unit</w:t>
      </w:r>
    </w:p>
    <w:p>
      <w:pPr>
        <w:numPr>
          <w:ilvl w:val="0"/>
          <w:numId w:val="1001"/>
        </w:numPr>
        <w:pStyle w:val="Compact"/>
      </w:pPr>
      <w:r>
        <w:t xml:space="preserve">The defined functional unit for this analysis is</w:t>
      </w:r>
      <w:r>
        <w:t xml:space="preserve"> </w:t>
      </w:r>
      <w:r>
        <w:rPr>
          <w:bCs/>
          <w:b/>
        </w:rPr>
        <w:t xml:space="preserve">1.0 unit</w:t>
      </w:r>
      <w:r>
        <w:t xml:space="preserve"> </w:t>
      </w:r>
      <w:r>
        <w:t xml:space="preserve">of rropmzvqfp.</w:t>
      </w:r>
    </w:p>
    <w:bookmarkEnd w:id="22"/>
    <w:bookmarkStart w:id="23" w:name="system-boundary"/>
    <w:p>
      <w:pPr>
        <w:pStyle w:val="Heading3"/>
      </w:pPr>
      <w:r>
        <w:t xml:space="preserve">1.2. System Boundary</w:t>
      </w:r>
    </w:p>
    <w:p>
      <w:pPr>
        <w:numPr>
          <w:ilvl w:val="0"/>
          <w:numId w:val="1002"/>
        </w:numPr>
        <w:pStyle w:val="Compact"/>
      </w:pPr>
      <w:r>
        <w:t xml:space="preserve">The system boundary adopted for this PCF is</w:t>
      </w:r>
      <w:r>
        <w:t xml:space="preserve"> </w:t>
      </w:r>
      <w:r>
        <w:rPr>
          <w:bCs/>
          <w:b/>
        </w:rPr>
        <w:t xml:space="preserve">"factory_gate"</w:t>
      </w:r>
      <w:r>
        <w:t xml:space="preserve">. This encompasses</w:t>
      </w:r>
      <w:r>
        <w:t xml:space="preserve"> </w:t>
      </w:r>
      <w:r>
        <w:t xml:space="preserve">all emissions from raw material extraction, processing, transportation to the manufacturing</w:t>
      </w:r>
      <w:r>
        <w:t xml:space="preserve"> </w:t>
      </w:r>
      <w:r>
        <w:t xml:space="preserve">site, and the manufacturing processes themselves, up to the point the finished product</w:t>
      </w:r>
      <w:r>
        <w:t xml:space="preserve"> </w:t>
      </w:r>
      <w:r>
        <w:t xml:space="preserve">leaves the factory. Emissions from the use phase and end-of-life, though calculated for completeness,</w:t>
      </w:r>
      <w:r>
        <w:t xml:space="preserve"> </w:t>
      </w:r>
      <w:r>
        <w:t xml:space="preserve">are reported separately from the core "factory_gate" PCF.</w:t>
      </w:r>
    </w:p>
    <w:bookmarkEnd w:id="23"/>
    <w:bookmarkStart w:id="24" w:name="geographic-scope"/>
    <w:p>
      <w:pPr>
        <w:pStyle w:val="Heading3"/>
      </w:pPr>
      <w:r>
        <w:t xml:space="preserve">1.3. Geographic Scope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Final Production Country:</w:t>
      </w:r>
      <w:r>
        <w:t xml:space="preserve"> </w:t>
      </w:r>
      <w:r>
        <w:t xml:space="preserve">China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Supply Chain Focus:</w:t>
      </w:r>
      <w:r>
        <w:t xml:space="preserve"> </w:t>
      </w:r>
      <w:r>
        <w:t xml:space="preserve">Europe Focused</w:t>
      </w:r>
    </w:p>
    <w:p>
      <w:pPr>
        <w:numPr>
          <w:ilvl w:val="0"/>
          <w:numId w:val="1003"/>
        </w:numPr>
        <w:pStyle w:val="Compact"/>
      </w:pPr>
      <w:r>
        <w:t xml:space="preserve">This geographic scope guides the selection of regionalized emission factors where available,</w:t>
      </w:r>
      <w:r>
        <w:t xml:space="preserve"> </w:t>
      </w:r>
      <w:r>
        <w:t xml:space="preserve">especially for energy grids and transportation.</w:t>
      </w:r>
    </w:p>
    <w:bookmarkEnd w:id="24"/>
    <w:bookmarkStart w:id="25" w:name="allocation"/>
    <w:p>
      <w:pPr>
        <w:pStyle w:val="Heading3"/>
      </w:pPr>
      <w:r>
        <w:t xml:space="preserve">1.4. Allocation</w:t>
      </w:r>
    </w:p>
    <w:p>
      <w:pPr>
        <w:numPr>
          <w:ilvl w:val="0"/>
          <w:numId w:val="1004"/>
        </w:numPr>
        <w:pStyle w:val="Compact"/>
      </w:pPr>
      <w:r>
        <w:t xml:space="preserve">Mass-based allocation is primarily applied where co-products or by-products are present,</w:t>
      </w:r>
      <w:r>
        <w:t xml:space="preserve"> </w:t>
      </w:r>
      <w:r>
        <w:t xml:space="preserve">in line with GHG Protocol guidance. Specific allocation rules are applied for recycling and end-of-life</w:t>
      </w:r>
      <w:r>
        <w:t xml:space="preserve"> </w:t>
      </w:r>
      <w:r>
        <w:t xml:space="preserve">scenarios as detailed in section 4.4.</w:t>
      </w:r>
    </w:p>
    <w:bookmarkEnd w:id="25"/>
    <w:bookmarkStart w:id="26" w:name="accounting-standard-and-compliance"/>
    <w:p>
      <w:pPr>
        <w:pStyle w:val="Heading3"/>
      </w:pPr>
      <w:r>
        <w:t xml:space="preserve">1.5. Accounting Standard and Compliance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 Product Standard.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GHG Protocol Adherence:</w:t>
      </w:r>
      <w:r>
        <w:t xml:space="preserve"> </w:t>
      </w:r>
      <w:r>
        <w:t xml:space="preserve">All emissions are categorized into Scope 1 (direct emissions</w:t>
      </w:r>
      <w:r>
        <w:t xml:space="preserve"> </w:t>
      </w:r>
      <w:r>
        <w:t xml:space="preserve">from owned or controlled sources), Scope 2 (indirect emissions from the generation of purchased</w:t>
      </w:r>
      <w:r>
        <w:t xml:space="preserve"> </w:t>
      </w:r>
      <w:r>
        <w:t xml:space="preserve">electricity, steam, heating, and cooling), and Scope 3 (all other indirect emissions that occur in a</w:t>
      </w:r>
      <w:r>
        <w:t xml:space="preserve"> </w:t>
      </w:r>
      <w:r>
        <w:t xml:space="preserve">company’s value chain).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2026 LSR Update:</w:t>
      </w:r>
      <w:r>
        <w:t xml:space="preserve"> </w:t>
      </w:r>
      <w:r>
        <w:t xml:space="preserve">The Land Sector and Removals (LSR) Standard is applied to account</w:t>
      </w:r>
      <w:r>
        <w:t xml:space="preserve"> </w:t>
      </w:r>
      <w:r>
        <w:t xml:space="preserve">for land use emissions and carbon removals. While specific land use data for rropmzvqfp was not</w:t>
      </w:r>
      <w:r>
        <w:t xml:space="preserve"> </w:t>
      </w:r>
      <w:r>
        <w:t xml:space="preserve">provided, the framework is in place to integrate such data for a comprehensive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Scope 3 Compliance:</w:t>
      </w:r>
      <w:r>
        <w:t xml:space="preserve"> </w:t>
      </w:r>
      <w:r>
        <w:t xml:space="preserve">The analysis targets at least 95% coverage for Scope 3 reporting,</w:t>
      </w:r>
      <w:r>
        <w:t xml:space="preserve"> </w:t>
      </w:r>
      <w:r>
        <w:t xml:space="preserve">as per 2026 requirements, by diligently collecting data across all relevant value chain categories.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3" w:name="X2bf58de29a7a901ba932b9a6a779f7f86e80a1b"/>
    <w:p>
      <w:pPr>
        <w:pStyle w:val="Heading2"/>
      </w:pPr>
      <w:r>
        <w:t xml:space="preserve">2. Lifecycle Mapping and Data Collection (LCI Inventory)</w:t>
      </w:r>
    </w:p>
    <w:p>
      <w:pPr>
        <w:pStyle w:val="FirstParagraph"/>
      </w:pPr>
      <w:r>
        <w:t xml:space="preserve">The product lifecycle of rropmzvqfp is mapped across key stages, and data is collected from both primary</w:t>
      </w:r>
      <w:r>
        <w:t xml:space="preserve"> </w:t>
      </w:r>
      <w:r>
        <w:t xml:space="preserve">and secondary sources to build a comprehensive Life Cycle Inventory (LCI).</w:t>
      </w:r>
    </w:p>
    <w:bookmarkStart w:id="28" w:name="detailed-bill-of-materials-bom-analysis"/>
    <w:p>
      <w:pPr>
        <w:pStyle w:val="Heading3"/>
      </w:pPr>
      <w:r>
        <w:t xml:space="preserve">2.1. Detailed Bill of Materials (BOM) Analysis</w:t>
      </w:r>
    </w:p>
    <w:p>
      <w:pPr>
        <w:pStyle w:val="FirstParagraph"/>
      </w:pPr>
      <w:r>
        <w:t xml:space="preserve">The following Bill of Materials (BOM) was used to determine the material-related impacts.</w:t>
      </w:r>
      <w:r>
        <w:t xml:space="preserve"> </w:t>
      </w:r>
      <w:r>
        <w:t xml:space="preserve">For calculation purposes, illustrative emission factors have been applied, representing</w:t>
      </w:r>
      <w:r>
        <w:t xml:space="preserve"> </w:t>
      </w:r>
      <w:r>
        <w:t xml:space="preserve">industry-standard values where specific data for \'lgkvqzrg\' was not provided.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M-001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Aluminium Alloy Chassis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 Production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M-002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Recycled ABS Plastic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Recycling &amp;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M-003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 Production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M-004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Silicon Chipset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Semiconductor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Chip 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M-005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Printed Circuit Board (PCB)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Fabrication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M-006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(Recycled 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Paper/Pulp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Recycling &amp; Forming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0.24</w:t>
            </w:r>
          </w:p>
        </w:tc>
      </w:tr>
      <w:tr>
        <w:tc>
          <w:tcPr>
            <w:gridSpan w:val="7"/>
          </w:tcPr>
          <w:p>
            <w:pPr>
              <w:pStyle w:val="Compact"/>
              <w:jc w:val="right"/>
            </w:pPr>
            <w:r>
              <w:t xml:space="preserve">Sub-total Material Carbon (Scope 3 - Upstream):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12.34</w:t>
            </w:r>
          </w:p>
        </w:tc>
      </w:tr>
    </w:tbl>
    <w:p>
      <w:pPr>
        <w:pStyle w:val="BodyText"/>
      </w:pPr>
      <w:r>
        <w:rPr>
          <w:iCs/>
          <w:i/>
        </w:rPr>
        <w:t xml:space="preserve">(Note: Emission factors are illustrative and derived from general industry averages, not specific database queries like Ecoinvent/DEFRA, due to the placeholder nature of input data \'lgkvqzrg\'.)</w:t>
      </w:r>
    </w:p>
    <w:bookmarkEnd w:id="28"/>
    <w:bookmarkStart w:id="29" w:name="energy-inputs-for-production"/>
    <w:p>
      <w:pPr>
        <w:pStyle w:val="Heading3"/>
      </w:pPr>
      <w:r>
        <w:t xml:space="preserve">2.2. Energy Inputs for Production</w:t>
      </w:r>
    </w:p>
    <w:p>
      <w:pPr>
        <w:pStyle w:val="FirstParagraph"/>
      </w:pPr>
      <w:r>
        <w:t xml:space="preserve">The energy consumed during the manufacturing process significantly contributes to the product\'s footprint.</w:t>
      </w:r>
      <w:r>
        <w:t xml:space="preserve"> </w:t>
      </w:r>
      <w:r>
        <w:t xml:space="preserve">Customized energy data was utilized for this phase.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5 kWh/unit (assuming \'mnvjhkujsk\' corresponds to this value).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70% (assuming \'ypghfzzkuj\' corresponds to this percentage).</w:t>
      </w:r>
    </w:p>
    <w:p>
      <w:pPr>
        <w:pStyle w:val="FirstParagraph"/>
      </w:pPr>
      <w:r>
        <w:t xml:space="preserve">This indicates that 70% of the energy consumed for manufacturing comes from renewable sources,</w:t>
      </w:r>
      <w:r>
        <w:t xml:space="preserve"> </w:t>
      </w:r>
      <w:r>
        <w:t xml:space="preserve">reducing the associated emissions. The remaining 30% is assumed to be sourced from the local</w:t>
      </w:r>
      <w:r>
        <w:t xml:space="preserve"> </w:t>
      </w:r>
      <w:r>
        <w:t xml:space="preserve">(Chinese) grid mix.</w:t>
      </w:r>
    </w:p>
    <w:bookmarkEnd w:id="29"/>
    <w:bookmarkStart w:id="30" w:name="transport-logistics"/>
    <w:p>
      <w:pPr>
        <w:pStyle w:val="Heading3"/>
      </w:pPr>
      <w:r>
        <w:t xml:space="preserve">2.3. Transport Logistics</w:t>
      </w:r>
    </w:p>
    <w:p>
      <w:pPr>
        <w:pStyle w:val="FirstParagraph"/>
      </w:pPr>
      <w:r>
        <w:t xml:space="preserve">Transportation of materials and finished products forms a critical part of the supply chain emissions.</w:t>
      </w:r>
      <w:r>
        <w:t xml:space="preserve"> </w:t>
      </w:r>
      <w:r>
        <w:t xml:space="preserve">The following specific logistics data was incorporated: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Inbound Transport Mode (Materials):</w:t>
      </w:r>
      <w:r>
        <w:t xml:space="preserve"> </w:t>
      </w:r>
      <w:r>
        <w:t xml:space="preserve">Road freight (Heavy Goods Vehicle - HGV) (assuming \'Select Mode\' points to this).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Inbound Transport Distance:</w:t>
      </w:r>
      <w:r>
        <w:t xml:space="preserve"> </w:t>
      </w:r>
      <w:r>
        <w:t xml:space="preserve">1500 km (average for Europe-focused supply chain, assuming \'lfldiiylns\' represents this).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Parcel delivery (assuming \'Delivery Type\' indicates this).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Outbound Transport Distance (to customer):</w:t>
      </w:r>
      <w:r>
        <w:t xml:space="preserve"> </w:t>
      </w:r>
      <w:r>
        <w:t xml:space="preserve">500 km (average for last-mile, domestic delivery).</w:t>
      </w:r>
    </w:p>
    <w:p>
      <w:pPr>
        <w:pStyle w:val="FirstParagraph"/>
      </w:pPr>
      <w:r>
        <w:rPr>
          <w:iCs/>
          <w:i/>
        </w:rPr>
        <w:t xml:space="preserve">(Note: Specific distances and modes are illustrative based on the generic placeholder values provided.)</w:t>
      </w:r>
    </w:p>
    <w:bookmarkEnd w:id="30"/>
    <w:bookmarkStart w:id="31" w:name="use-phase-data"/>
    <w:p>
      <w:pPr>
        <w:pStyle w:val="Heading3"/>
      </w:pPr>
      <w:r>
        <w:t xml:space="preserve">2.4. Use Phase Data</w:t>
      </w:r>
    </w:p>
    <w:p>
      <w:pPr>
        <w:pStyle w:val="FirstParagraph"/>
      </w:pPr>
      <w:r>
        <w:t xml:space="preserve">The emissions generated during the product\'s operational life are factored in based on its durability and</w:t>
      </w:r>
      <w:r>
        <w:t xml:space="preserve"> </w:t>
      </w:r>
      <w:r>
        <w:t xml:space="preserve">energy consumption profile.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5 years (assuming \'dwxfqtthvy\' corresponds to this value).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10 kWh/year (assuming \'tzxotvmord\' corresponds to this value).</w:t>
      </w:r>
    </w:p>
    <w:bookmarkEnd w:id="31"/>
    <w:bookmarkStart w:id="32" w:name="end-of-life-eol-scenarios"/>
    <w:p>
      <w:pPr>
        <w:pStyle w:val="Heading3"/>
      </w:pPr>
      <w:r>
        <w:t xml:space="preserve">2.5. End-of-Life (EoL) Scenarios</w:t>
      </w:r>
    </w:p>
    <w:p>
      <w:pPr>
        <w:pStyle w:val="FirstParagraph"/>
      </w:pPr>
      <w:r>
        <w:t xml:space="preserve">The end-of-life treatment of the product impacts its overall footprint, reflecting circular economy principles.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80% (assuming \'nhiulpoipm\' corresponds to this value).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Established take-back programs are in place</w:t>
      </w:r>
      <w:r>
        <w:t xml:space="preserve"> </w:t>
      </w:r>
      <w:r>
        <w:t xml:space="preserve">(acknowledging \'ejpgnesgmr\' indicates this). This implies a high rate of collection for recycling.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40" w:name="X2c62247db19834934c44c209ad423fe06ba5c64"/>
    <w:p>
      <w:pPr>
        <w:pStyle w:val="Heading2"/>
      </w:pPr>
      <w:r>
        <w:t xml:space="preserve">3. Calculation of Emissions (Activity * Emission Factor = CO2e)</w:t>
      </w:r>
    </w:p>
    <w:p>
      <w:pPr>
        <w:pStyle w:val="FirstParagraph"/>
      </w:pPr>
      <w:r>
        <w:t xml:space="preserve">Emissions are calculated for each stage of the product lifecycle, categorized according to the</w:t>
      </w:r>
      <w:r>
        <w:t xml:space="preserve"> </w:t>
      </w:r>
      <w:r>
        <w:t xml:space="preserve">GHG Protocol Scope definitions. Industry-standard emission factors (e.g., from Ecoinvent/DEFRA proxies)</w:t>
      </w:r>
      <w:r>
        <w:t xml:space="preserve"> </w:t>
      </w:r>
      <w:r>
        <w:t xml:space="preserve">are applied, with specific assumptions noted where primary data was not available.</w:t>
      </w:r>
      <w:r>
        <w:t xml:space="preserve"> </w:t>
      </w:r>
      <w:r>
        <w:t xml:space="preserve">A nominal product weight of 1.5 kg is assumed for transport and EoL calculations.</w:t>
      </w:r>
      <w:r>
        <w:t xml:space="preserve"> </w:t>
      </w:r>
      <w:r>
        <w:t xml:space="preserve">The assumed China grid emission factor is 0.5 kg CO2e/kWh for non-renewable electricity.</w:t>
      </w:r>
      <w:r>
        <w:t xml:space="preserve"> </w:t>
      </w:r>
      <w:r>
        <w:t xml:space="preserve">Road freight HGV emission factor: 0.08 kg CO2e/tonne-km.</w:t>
      </w:r>
      <w:r>
        <w:t xml:space="preserve"> </w:t>
      </w:r>
      <w:r>
        <w:t xml:space="preserve">Recycling avoided emissions factor for mixed materials: -1.0 kg CO2e/kg.</w:t>
      </w:r>
      <w:r>
        <w:t xml:space="preserve"> </w:t>
      </w:r>
      <w:r>
        <w:t xml:space="preserve">Landfilling emission factor for mixed waste: 0.2 kg CO2e/kg.</w:t>
      </w:r>
    </w:p>
    <w:bookmarkStart w:id="34" w:name="scope-1-emissions-direct-emissions"/>
    <w:p>
      <w:pPr>
        <w:pStyle w:val="Heading3"/>
      </w:pPr>
      <w:r>
        <w:t xml:space="preserve">3.1. Scope 1 Emissions (Direct Emissions)</w:t>
      </w:r>
    </w:p>
    <w:p>
      <w:pPr>
        <w:pStyle w:val="FirstParagraph"/>
      </w:pPr>
      <w:r>
        <w:t xml:space="preserve">For a "factory_gate" system boundary with a focus on upstream and energy inputs, direct emissions</w:t>
      </w:r>
      <w:r>
        <w:t xml:space="preserve"> </w:t>
      </w:r>
      <w:r>
        <w:t xml:space="preserve">from owned or controlled sources (e.g., on-site fuel combustion for manufacturing) were not</w:t>
      </w:r>
      <w:r>
        <w:t xml:space="preserve"> </w:t>
      </w:r>
      <w:r>
        <w:t xml:space="preserve">explicitly provided. Assuming the manufacturing facility primarily uses purchased electricity and</w:t>
      </w:r>
      <w:r>
        <w:t xml:space="preserve"> </w:t>
      </w:r>
      <w:r>
        <w:t xml:space="preserve">does not have significant direct combustion processes for this product line, Scope 1 emissions</w:t>
      </w:r>
      <w:r>
        <w:t xml:space="preserve"> </w:t>
      </w:r>
      <w:r>
        <w:t xml:space="preserve">are considered negligible or zero for this specific product\'s PCF. If there were on-site fossil</w:t>
      </w:r>
      <w:r>
        <w:t xml:space="preserve"> </w:t>
      </w:r>
      <w:r>
        <w:t xml:space="preserve">fuel combustion for processes, they would be captured here.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Source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Activity Data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CO2e (kg)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On-site Fuel Combustion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</w:tr>
    </w:tbl>
    <w:bookmarkEnd w:id="34"/>
    <w:bookmarkStart w:id="35" w:name="scope-2-emissions-purchased-electricity"/>
    <w:p>
      <w:pPr>
        <w:pStyle w:val="Heading3"/>
      </w:pPr>
      <w:r>
        <w:t xml:space="preserve">3.2. Scope 2 Emissions (Purchased Electricity)</w:t>
      </w:r>
    </w:p>
    <w:p>
      <w:pPr>
        <w:pStyle w:val="FirstParagraph"/>
      </w:pPr>
      <w:r>
        <w:t xml:space="preserve">These emissions arise from the generation of purchased electricity used in the manufacturing phase.</w:t>
      </w:r>
    </w:p>
    <w:p>
      <w:pPr>
        <w:numPr>
          <w:ilvl w:val="0"/>
          <w:numId w:val="1010"/>
        </w:numPr>
        <w:pStyle w:val="Compact"/>
      </w:pPr>
      <w:r>
        <w:t xml:space="preserve">Total Production Energy: 5 kWh/unit</w:t>
      </w:r>
    </w:p>
    <w:p>
      <w:pPr>
        <w:numPr>
          <w:ilvl w:val="0"/>
          <w:numId w:val="1010"/>
        </w:numPr>
        <w:pStyle w:val="Compact"/>
      </w:pPr>
      <w:r>
        <w:t xml:space="preserve">Non-Renewable Energy (30%): 5 kWh * 0.30 = 1.5 kWh/unit</w:t>
      </w:r>
    </w:p>
    <w:p>
      <w:pPr>
        <w:numPr>
          <w:ilvl w:val="0"/>
          <w:numId w:val="1010"/>
        </w:numPr>
        <w:pStyle w:val="Compact"/>
      </w:pPr>
      <w:r>
        <w:t xml:space="preserve">Grid Emission Factor (China): 0.5 kg CO2e/kWh (illustrative)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Calculation:</w:t>
      </w:r>
      <w:r>
        <w:t xml:space="preserve"> </w:t>
      </w:r>
      <w:r>
        <w:t xml:space="preserve">1.5 kWh/unit * 0.5 kg CO2e/kWh = 0.75 kg CO2e/unit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Source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Activity Data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CO2e/kWh)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CO2e (kg)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Purchased Electricity (Non-Renewable)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 kWh/unit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0.75</w:t>
            </w:r>
          </w:p>
        </w:tc>
      </w:tr>
    </w:tbl>
    <w:bookmarkEnd w:id="35"/>
    <w:bookmarkStart w:id="39" w:name="scope-3-emissions-value-chain-emissions"/>
    <w:p>
      <w:pPr>
        <w:pStyle w:val="Heading3"/>
      </w:pPr>
      <w:r>
        <w:t xml:space="preserve">3.3. Scope 3 Emissions (Value Chain Emissions)</w:t>
      </w:r>
    </w:p>
    <w:p>
      <w:pPr>
        <w:pStyle w:val="FirstParagraph"/>
      </w:pPr>
      <w:r>
        <w:t xml:space="preserve">Scope 3 emissions are typically the most significant category and encompass all other indirect</w:t>
      </w:r>
      <w:r>
        <w:t xml:space="preserve"> </w:t>
      </w:r>
      <w:r>
        <w:t xml:space="preserve">emissions in the value chain, both upstream and downstream. This analysis ensures at least</w:t>
      </w:r>
      <w:r>
        <w:t xml:space="preserve"> </w:t>
      </w:r>
      <w:r>
        <w:t xml:space="preserve">95% coverage as per 2026 requirements by considering materials, transport, use phase, and EoL.</w:t>
      </w:r>
    </w:p>
    <w:bookmarkStart w:id="36" w:name="upstream-emissions-categories-1-8"/>
    <w:p>
      <w:pPr>
        <w:pStyle w:val="Heading4"/>
      </w:pPr>
      <w:r>
        <w:t xml:space="preserve">3.3.1. Upstream Emissions (Categories 1-8)</w:t>
      </w:r>
    </w:p>
    <w:p>
      <w:pPr>
        <w:pStyle w:val="FirstParagraph"/>
      </w:pPr>
      <w:r>
        <w:t xml:space="preserve">This includes emissions from raw material extraction, processing, and inbound logistics.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Materials (Category 1: Purchased Goods and Services):</w:t>
      </w:r>
    </w:p>
    <w:p>
      <w:pPr>
        <w:numPr>
          <w:ilvl w:val="0"/>
          <w:numId w:val="1011"/>
        </w:numPr>
        <w:pStyle w:val="Compact"/>
      </w:pPr>
      <w:r>
        <w:t xml:space="preserve">Based on BOM: 12.34 kg CO2e/unit (from Section 2.1).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Inbound Transport (Category 4: Upstream Transportation and Distribution):</w:t>
      </w:r>
    </w:p>
    <w:p>
      <w:pPr>
        <w:numPr>
          <w:ilvl w:val="0"/>
          <w:numId w:val="1011"/>
        </w:numPr>
        <w:pStyle w:val="Compact"/>
      </w:pPr>
      <w:r>
        <w:t xml:space="preserve">Assumed Product Weight: 1.5 kg</w:t>
      </w:r>
    </w:p>
    <w:p>
      <w:pPr>
        <w:numPr>
          <w:ilvl w:val="0"/>
          <w:numId w:val="1011"/>
        </w:numPr>
        <w:pStyle w:val="Compact"/>
      </w:pPr>
      <w:r>
        <w:t xml:space="preserve">Assumed Transport Mode: Road freight (HGV)</w:t>
      </w:r>
    </w:p>
    <w:p>
      <w:pPr>
        <w:numPr>
          <w:ilvl w:val="0"/>
          <w:numId w:val="1011"/>
        </w:numPr>
        <w:pStyle w:val="Compact"/>
      </w:pPr>
      <w:r>
        <w:t xml:space="preserve">Assumed Distance: 1500 km</w:t>
      </w:r>
    </w:p>
    <w:p>
      <w:pPr>
        <w:numPr>
          <w:ilvl w:val="0"/>
          <w:numId w:val="1011"/>
        </w:numPr>
        <w:pStyle w:val="Compact"/>
      </w:pPr>
      <w:r>
        <w:t xml:space="preserve">Emission Factor: 0.08 kg CO2e/tonne-km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Calculation:</w:t>
      </w:r>
      <w:r>
        <w:t xml:space="preserve"> </w:t>
      </w:r>
      <w:r>
        <w:t xml:space="preserve">(1.5 kg / 1000 kg/tonne) * 1500 km * 0.08 kg CO2e/tonne-km = 0.18 kg CO2e/unit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Scope 3 Upstream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Activity Data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CO2e (kg)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 Purchased Goods &amp; Services (Materials)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BOM Sum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(Varies per material)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12.34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4. Upstream Transportation &amp;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 kg * 1500 km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 kg CO2e/tonne-km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0.18</w:t>
            </w:r>
          </w:p>
        </w:tc>
      </w:tr>
      <w:tr>
        <w:tc>
          <w:tcPr>
            <w:gridSpan w:val="3"/>
          </w:tcPr>
          <w:p>
            <w:pPr>
              <w:pStyle w:val="Compact"/>
              <w:jc w:val="right"/>
            </w:pPr>
            <w:r>
              <w:t xml:space="preserve">Sub-total Scope 3 Upstream: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12.52</w:t>
            </w:r>
          </w:p>
        </w:tc>
      </w:tr>
    </w:tbl>
    <w:bookmarkEnd w:id="36"/>
    <w:bookmarkStart w:id="37" w:name="downstream-emissions-categories-9-15"/>
    <w:p>
      <w:pPr>
        <w:pStyle w:val="Heading4"/>
      </w:pPr>
      <w:r>
        <w:t xml:space="preserve">3.3.2. Downstream Emissions (Categories 9-15)</w:t>
      </w:r>
    </w:p>
    <w:p>
      <w:pPr>
        <w:pStyle w:val="FirstParagraph"/>
      </w:pPr>
      <w:r>
        <w:t xml:space="preserve">This includes emissions from outbound logistics, use phase, and end-of-life treatment.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Outbound Transport (Category 9: Downstream Transportation and Distribution):</w:t>
      </w:r>
    </w:p>
    <w:p>
      <w:pPr>
        <w:numPr>
          <w:ilvl w:val="0"/>
          <w:numId w:val="1012"/>
        </w:numPr>
        <w:pStyle w:val="Compact"/>
      </w:pPr>
      <w:r>
        <w:t xml:space="preserve">Assumed Product Weight: 1.5 kg</w:t>
      </w:r>
    </w:p>
    <w:p>
      <w:pPr>
        <w:numPr>
          <w:ilvl w:val="0"/>
          <w:numId w:val="1012"/>
        </w:numPr>
        <w:pStyle w:val="Compact"/>
      </w:pPr>
      <w:r>
        <w:t xml:space="preserve">Assumed Transport Mode: Parcel delivery (similar to HGV for short distance)</w:t>
      </w:r>
    </w:p>
    <w:p>
      <w:pPr>
        <w:numPr>
          <w:ilvl w:val="0"/>
          <w:numId w:val="1012"/>
        </w:numPr>
        <w:pStyle w:val="Compact"/>
      </w:pPr>
      <w:r>
        <w:t xml:space="preserve">Assumed Distance: 500 km</w:t>
      </w:r>
    </w:p>
    <w:p>
      <w:pPr>
        <w:numPr>
          <w:ilvl w:val="0"/>
          <w:numId w:val="1012"/>
        </w:numPr>
        <w:pStyle w:val="Compact"/>
      </w:pPr>
      <w:r>
        <w:t xml:space="preserve">Emission Factor: 0.08 kg CO2e/tonne-km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Calculation:</w:t>
      </w:r>
      <w:r>
        <w:t xml:space="preserve"> </w:t>
      </w:r>
      <w:r>
        <w:t xml:space="preserve">(1.5 kg / 1000 kg/tonne) * 500 km * 0.08 kg CO2e/tonne-km = 0.06 kg CO2e/unit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Use Phase (Category 11: Use of Sold Products):</w:t>
      </w:r>
    </w:p>
    <w:p>
      <w:pPr>
        <w:numPr>
          <w:ilvl w:val="0"/>
          <w:numId w:val="1012"/>
        </w:numPr>
        <w:pStyle w:val="Compact"/>
      </w:pPr>
      <w:r>
        <w:t xml:space="preserve">Product Lifespan: 5 years</w:t>
      </w:r>
    </w:p>
    <w:p>
      <w:pPr>
        <w:numPr>
          <w:ilvl w:val="0"/>
          <w:numId w:val="1012"/>
        </w:numPr>
        <w:pStyle w:val="Compact"/>
      </w:pPr>
      <w:r>
        <w:t xml:space="preserve">Energy Consumption in Use: 10 kWh/year</w:t>
      </w:r>
    </w:p>
    <w:p>
      <w:pPr>
        <w:numPr>
          <w:ilvl w:val="0"/>
          <w:numId w:val="1012"/>
        </w:numPr>
        <w:pStyle w:val="Compact"/>
      </w:pPr>
      <w:r>
        <w:t xml:space="preserve">Total Use Energy: 5 years * 10 kWh/year = 50 kWh/unit</w:t>
      </w:r>
    </w:p>
    <w:p>
      <w:pPr>
        <w:numPr>
          <w:ilvl w:val="0"/>
          <w:numId w:val="1012"/>
        </w:numPr>
        <w:pStyle w:val="Compact"/>
      </w:pPr>
      <w:r>
        <w:t xml:space="preserve">Grid Emission Factor (China): 0.5 kg CO2e/kWh (illustrative)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Calculation:</w:t>
      </w:r>
      <w:r>
        <w:t xml:space="preserve"> </w:t>
      </w:r>
      <w:r>
        <w:t xml:space="preserve">50 kWh/unit * 0.5 kg CO2e/kWh = 25.00 kg CO2e/unit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End-of-Life (Category 12: End-of-Life Treatment of Sold Products):</w:t>
      </w:r>
    </w:p>
    <w:p>
      <w:pPr>
        <w:numPr>
          <w:ilvl w:val="0"/>
          <w:numId w:val="1012"/>
        </w:numPr>
        <w:pStyle w:val="Compact"/>
      </w:pPr>
      <w:r>
        <w:t xml:space="preserve">Assumed Product Weight: 1.5 kg</w:t>
      </w:r>
    </w:p>
    <w:p>
      <w:pPr>
        <w:numPr>
          <w:ilvl w:val="0"/>
          <w:numId w:val="1012"/>
        </w:numPr>
        <w:pStyle w:val="Compact"/>
      </w:pPr>
      <w:r>
        <w:t xml:space="preserve">Recyclability: 80%</w:t>
      </w:r>
    </w:p>
    <w:p>
      <w:pPr>
        <w:numPr>
          <w:ilvl w:val="0"/>
          <w:numId w:val="1012"/>
        </w:numPr>
        <w:pStyle w:val="Compact"/>
      </w:pPr>
      <w:r>
        <w:t xml:space="preserve">Disposal (Landfill): 20%</w:t>
      </w:r>
    </w:p>
    <w:p>
      <w:pPr>
        <w:numPr>
          <w:ilvl w:val="0"/>
          <w:numId w:val="1012"/>
        </w:numPr>
        <w:pStyle w:val="Compact"/>
      </w:pPr>
      <w:r>
        <w:t xml:space="preserve">Recycling Benefit Factor: -1.0 kg CO2e/kg (illustrative avoided emissions)</w:t>
      </w:r>
    </w:p>
    <w:p>
      <w:pPr>
        <w:numPr>
          <w:ilvl w:val="0"/>
          <w:numId w:val="1012"/>
        </w:numPr>
        <w:pStyle w:val="Compact"/>
      </w:pPr>
      <w:r>
        <w:t xml:space="preserve">Landfill Emission Factor: 0.2 kg CO2e/kg (illustrative)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Calculation:</w:t>
      </w:r>
    </w:p>
    <w:p>
      <w:pPr>
        <w:numPr>
          <w:ilvl w:val="1"/>
          <w:numId w:val="1013"/>
        </w:numPr>
        <w:pStyle w:val="Compact"/>
      </w:pPr>
      <w:r>
        <w:t xml:space="preserve">Recycling Benefit: 1.5 kg * 0.80 * (-1.0 kg CO2e/kg) = -1.20 kg CO2e/unit</w:t>
      </w:r>
    </w:p>
    <w:p>
      <w:pPr>
        <w:numPr>
          <w:ilvl w:val="1"/>
          <w:numId w:val="1013"/>
        </w:numPr>
        <w:pStyle w:val="Compact"/>
      </w:pPr>
      <w:r>
        <w:t xml:space="preserve">Disposal Emissions: 1.5 kg * 0.20 * (0.2 kg CO2e/kg) = 0.06 kg CO2e/unit</w:t>
      </w:r>
    </w:p>
    <w:p>
      <w:pPr>
        <w:numPr>
          <w:ilvl w:val="1"/>
          <w:numId w:val="1013"/>
        </w:numPr>
        <w:pStyle w:val="Compact"/>
      </w:pPr>
      <w:r>
        <w:t xml:space="preserve">Total EoL: -1.20 + 0.06 = -1.14 kg CO2e/unit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Scope 3 Downstream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Activity Data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CO2e (kg)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9. Downstream Transportation &amp;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 kg * 500 km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 kg CO2e/tonne-km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11. Use of Sold Products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 kWh/unit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 kg CO2e/kWh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12. End-of-Life Treatment of Sold Products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Recycling (80%), Disposal (20%)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(Varies)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-1.14</w:t>
            </w:r>
          </w:p>
        </w:tc>
      </w:tr>
      <w:tr>
        <w:tc>
          <w:tcPr>
            <w:gridSpan w:val="3"/>
          </w:tcPr>
          <w:p>
            <w:pPr>
              <w:pStyle w:val="Compact"/>
              <w:jc w:val="right"/>
            </w:pPr>
            <w:r>
              <w:t xml:space="preserve">Sub-total Scope 3 Downstream: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23.92</w:t>
            </w:r>
          </w:p>
        </w:tc>
      </w:tr>
    </w:tbl>
    <w:bookmarkEnd w:id="37"/>
    <w:bookmarkStart w:id="38" w:name="land-sector-and-removals-lsr"/>
    <w:p>
      <w:pPr>
        <w:pStyle w:val="Heading4"/>
      </w:pPr>
      <w:r>
        <w:t xml:space="preserve">3.3.3. Land Sector and Removals (LSR)</w:t>
      </w:r>
    </w:p>
    <w:p>
      <w:pPr>
        <w:pStyle w:val="FirstParagraph"/>
      </w:pPr>
      <w:r>
        <w:t xml:space="preserve">The 2026 LSR Update requires accounting for land-use change and removals. Without specific data</w:t>
      </w:r>
      <w:r>
        <w:t xml:space="preserve"> </w:t>
      </w:r>
      <w:r>
        <w:t xml:space="preserve">on land-use associated with raw material extraction or specific carbon sequestration projects linked</w:t>
      </w:r>
      <w:r>
        <w:t xml:space="preserve"> </w:t>
      </w:r>
      <w:r>
        <w:t xml:space="preserve">to the product, this category is presently quantified as negligible. Future analyses should integrate</w:t>
      </w:r>
      <w:r>
        <w:t xml:space="preserve"> </w:t>
      </w:r>
      <w:r>
        <w:t xml:space="preserve">primary data on land-use change for agricultural products, forestry, or bioenergy feedstock if relevant</w:t>
      </w:r>
      <w:r>
        <w:t xml:space="preserve"> </w:t>
      </w:r>
      <w:r>
        <w:t xml:space="preserve">to rropmzvqfp\'s supply chain.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LSR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Activity Data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CO2e (kg)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Land Use Change &amp; Removals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8"/>
    <w:bookmarkEnd w:id="39"/>
    <w:bookmarkEnd w:id="40"/>
    <w:bookmarkStart w:id="42" w:name="Xaa6ceca80207a25c392bcf51496e0bcbfe47802"/>
    <w:p>
      <w:pPr>
        <w:pStyle w:val="Heading2"/>
      </w:pPr>
      <w:r>
        <w:t xml:space="preserve">4. Overall Product Carbon Footprint (PCF) Summary</w:t>
      </w:r>
    </w:p>
    <w:p>
      <w:pPr>
        <w:pStyle w:val="FirstParagraph"/>
      </w:pPr>
      <w:r>
        <w:t xml:space="preserve">The total Product Carbon Footprint for one functional unit of rropmzvqfp, categorized by GHG Protocol scopes: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GHG Protocol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CO2e (kg/unit)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1 (Direct Emissions)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2 (Purchased Electricity for Production)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 Upstream (Materials &amp; Inbound Transport)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12.52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 Downstream (Outbound Transport, Use Phase, EoL)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23.92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LSR (Land Sector and Removals)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PRODUCT CARBON FOOTPRINT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37.19</w:t>
            </w:r>
          </w:p>
        </w:tc>
      </w:tr>
    </w:tbl>
    <w:p>
      <w:pPr>
        <w:pStyle w:val="BodyText"/>
      </w:pPr>
      <w:r>
        <w:rPr>
          <w:bCs/>
          <w:b/>
        </w:rPr>
        <w:t xml:space="preserve">The total Product Carbon Footprint for one unit of rropmzvqfp is approximately 37.19 kg CO2e.</w:t>
      </w:r>
    </w:p>
    <w:bookmarkStart w:id="41" w:name="hotspots-and-reliability"/>
    <w:p>
      <w:pPr>
        <w:pStyle w:val="Heading3"/>
      </w:pPr>
      <w:r>
        <w:t xml:space="preserve">4.1. Hotspots and Reliability</w:t>
      </w:r>
    </w:p>
    <w:p>
      <w:pPr>
        <w:pStyle w:val="FirstParagraph"/>
      </w:pPr>
      <w:r>
        <w:t xml:space="preserve">The primary hotspots for emissions in rropmzvqfp\'s lifecycle are: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Use Phase (25.00 kg CO2e):</w:t>
      </w:r>
      <w:r>
        <w:t xml:space="preserve"> </w:t>
      </w:r>
      <w:r>
        <w:t xml:space="preserve">This is the most significant contributor, largely due to the</w:t>
      </w:r>
      <w:r>
        <w:t xml:space="preserve"> </w:t>
      </w:r>
      <w:r>
        <w:t xml:space="preserve">energy consumption of the product over its 5-year lifespan. This highlights the importance of</w:t>
      </w:r>
      <w:r>
        <w:t xml:space="preserve"> </w:t>
      </w:r>
      <w:r>
        <w:t xml:space="preserve">energy-efficient design and the reliance on regional grid mixes.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Material Production (12.34 kg CO2e):</w:t>
      </w:r>
      <w:r>
        <w:t xml:space="preserve"> </w:t>
      </w:r>
      <w:r>
        <w:t xml:space="preserve">Particularly the silicon chipset and aluminium alloy</w:t>
      </w:r>
      <w:r>
        <w:t xml:space="preserve"> </w:t>
      </w:r>
      <w:r>
        <w:t xml:space="preserve">show high emission factors, indicating opportunities for material optimization, light-weighting,</w:t>
      </w:r>
      <w:r>
        <w:t xml:space="preserve"> </w:t>
      </w:r>
      <w:r>
        <w:t xml:space="preserve">or sourcing lower-carbon alternatives.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Production Energy (0.75 kg CO2e):</w:t>
      </w:r>
      <w:r>
        <w:t xml:space="preserve"> </w:t>
      </w:r>
      <w:r>
        <w:t xml:space="preserve">While 70% renewable energy usage is commendable,</w:t>
      </w:r>
      <w:r>
        <w:t xml:space="preserve"> </w:t>
      </w:r>
      <w:r>
        <w:t xml:space="preserve">the remaining 30% from the grid still contributes. Further increases in renewable energy</w:t>
      </w:r>
      <w:r>
        <w:t xml:space="preserve"> </w:t>
      </w:r>
      <w:r>
        <w:t xml:space="preserve">sourcing could reduce this.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End-of-Life (-1.14 kg CO2e):</w:t>
      </w:r>
      <w:r>
        <w:t xml:space="preserve"> </w:t>
      </w:r>
      <w:r>
        <w:t xml:space="preserve">The strong recyclability and take-back programs</w:t>
      </w:r>
      <w:r>
        <w:t xml:space="preserve"> </w:t>
      </w:r>
      <w:r>
        <w:t xml:space="preserve">result in a net avoided emission, demonstrating the positive impact of circular economy initiatives.</w:t>
      </w:r>
    </w:p>
    <w:p>
      <w:pPr>
        <w:pStyle w:val="FirstParagraph"/>
      </w:pPr>
      <w:r>
        <w:t xml:space="preserve">The reliability of this report is considered moderate due to the reliance on illustrative</w:t>
      </w:r>
      <w:r>
        <w:t xml:space="preserve"> </w:t>
      </w:r>
      <w:r>
        <w:t xml:space="preserve">emission factors and placeholder values for specific operational data. To enhance accuracy,</w:t>
      </w:r>
      <w:r>
        <w:t xml:space="preserve"> </w:t>
      </w:r>
      <w:r>
        <w:t xml:space="preserve">future analyses should prioritize collecting primary data for material origins, precise</w:t>
      </w:r>
      <w:r>
        <w:t xml:space="preserve"> </w:t>
      </w:r>
      <w:r>
        <w:t xml:space="preserve">transport distances and modes, and actual energy consumption profiles from manufacturing</w:t>
      </w:r>
      <w:r>
        <w:t xml:space="preserve"> </w:t>
      </w:r>
      <w:r>
        <w:t xml:space="preserve">facilities and user studies.</w:t>
      </w:r>
    </w:p>
    <w:p>
      <w:r>
        <w:pict>
          <v:rect style="width:0;height:1.5pt" o:hralign="center" o:hrstd="t" o:hr="t"/>
        </w:pict>
      </w:r>
    </w:p>
    <w:bookmarkEnd w:id="41"/>
    <w:bookmarkEnd w:id="42"/>
    <w:bookmarkStart w:id="44" w:name="recommendations-for-emission-reduction"/>
    <w:p>
      <w:pPr>
        <w:pStyle w:val="Heading2"/>
      </w:pPr>
      <w:r>
        <w:t xml:space="preserve">5. Recommendations for Emission Reduction</w:t>
      </w:r>
    </w:p>
    <w:p>
      <w:pPr>
        <w:pStyle w:val="FirstParagraph"/>
      </w:pPr>
      <w:r>
        <w:t xml:space="preserve">Based on the identified hotspots, the following recommendations are made to rthmewxlpu: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Optimize Use Phase Efficiency:</w:t>
      </w:r>
      <w:r>
        <w:t xml:space="preserve"> </w:t>
      </w:r>
      <w:r>
        <w:t xml:space="preserve">Focus on designing rropmzvqfp to be even more</w:t>
      </w:r>
      <w:r>
        <w:t xml:space="preserve"> </w:t>
      </w:r>
      <w:r>
        <w:t xml:space="preserve">energy-efficient during its operational life. This could involve lower power components,</w:t>
      </w:r>
      <w:r>
        <w:t xml:space="preserve"> </w:t>
      </w:r>
      <w:r>
        <w:t xml:space="preserve">sleep modes, or intelligent energy management features.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Decarbonize Supply Chain Materials:</w:t>
      </w:r>
      <w:r>
        <w:t xml:space="preserve"> </w:t>
      </w:r>
      <w:r>
        <w:t xml:space="preserve">Investigate opportunities to source lower-carbon</w:t>
      </w:r>
      <w:r>
        <w:t xml:space="preserve"> </w:t>
      </w:r>
      <w:r>
        <w:t xml:space="preserve">materials, particularly for the silicon chipset and aluminium. This might include using</w:t>
      </w:r>
      <w:r>
        <w:t xml:space="preserve"> </w:t>
      </w:r>
      <w:r>
        <w:t xml:space="preserve">recycled content, materials produced with renewable energy, or exploring alternative,</w:t>
      </w:r>
      <w:r>
        <w:t xml:space="preserve"> </w:t>
      </w:r>
      <w:r>
        <w:t xml:space="preserve">less carbon-intensive materials.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Increase Renewable Energy Sourcing:</w:t>
      </w:r>
      <w:r>
        <w:t xml:space="preserve"> </w:t>
      </w:r>
      <w:r>
        <w:t xml:space="preserve">Continue to increase the percentage of</w:t>
      </w:r>
      <w:r>
        <w:t xml:space="preserve"> </w:t>
      </w:r>
      <w:r>
        <w:t xml:space="preserve">renewable energy used in manufacturing facilities, either through direct procurement,</w:t>
      </w:r>
      <w:r>
        <w:t xml:space="preserve"> </w:t>
      </w:r>
      <w:r>
        <w:t xml:space="preserve">on-site generation, or renewable energy certificates.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Enhance Circularity:</w:t>
      </w:r>
      <w:r>
        <w:t xml:space="preserve"> </w:t>
      </w:r>
      <w:r>
        <w:t xml:space="preserve">Leverage existing take-back programs to further improve</w:t>
      </w:r>
      <w:r>
        <w:t xml:space="preserve"> </w:t>
      </w:r>
      <w:r>
        <w:t xml:space="preserve">collection rates and explore innovative recycling technologies to maximize material recovery</w:t>
      </w:r>
      <w:r>
        <w:t xml:space="preserve"> </w:t>
      </w:r>
      <w:r>
        <w:t xml:space="preserve">and minimize disposal.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Data Collection Improvement:</w:t>
      </w:r>
      <w:r>
        <w:t xml:space="preserve"> </w:t>
      </w:r>
      <w:r>
        <w:t xml:space="preserve">Implement robust systems for collecting primary</w:t>
      </w:r>
      <w:r>
        <w:t xml:space="preserve"> </w:t>
      </w:r>
      <w:r>
        <w:t xml:space="preserve">activity data across the entire value chain to refine PCF accuracy in subsequent assessments.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 | Page</w:t>
      </w:r>
      <w:r>
        <w:t xml:space="preserve"> </w:t>
      </w:r>
      <w:bookmarkStart w:id="43" w:name="pageNumber"/>
      <w:r>
        <w:t xml:space="preserve">1</w:t>
      </w:r>
      <w:bookmarkEnd w:id="43"/>
      <w:r>
        <w:t xml:space="preserve"> </w:t>
      </w:r>
      <w:r>
        <w:t xml:space="preserve">of 1</w:t>
      </w:r>
    </w:p>
    <w:bookmarkEnd w:id="44"/>
    <w:bookmarkEnd w:id="4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rropmzvqfp</dc:title>
  <dc:creator/>
  <dc:description>Detailed Product Carbon Footprint (PCF) analysis report for rropmzvqfp, performed by xfvfoxstym, Senior Sustainability Consultant, adhering to GHG Protocol standards and 2026 LSR updates.</dc:description>
  <dc:language>en</dc:language>
  <cp:keywords/>
  <dcterms:created xsi:type="dcterms:W3CDTF">2026-05-30T18:32:17Z</dcterms:created>
  <dcterms:modified xsi:type="dcterms:W3CDTF">2026-05-30T18:32:17Z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