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rrhfzffpsg</w:t>
      </w:r>
      <w:r>
        <w:t xml:space="preserve"> </w:t>
      </w:r>
      <w:r>
        <w:t xml:space="preserve">-</w:t>
      </w:r>
      <w:r>
        <w:t xml:space="preserve"> </w:t>
      </w:r>
      <w:r>
        <w:t xml:space="preserve">fseojuxnek</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rrhfzffpsg</w:t>
      </w:r>
    </w:p>
    <w:p>
      <w:pPr>
        <w:pStyle w:val="BodyText"/>
      </w:pPr>
      <w:r>
        <w:t xml:space="preserve">Company: fseojuxnek</w:t>
      </w:r>
    </w:p>
    <w:p>
      <w:pPr>
        <w:pStyle w:val="BodyText"/>
      </w:pPr>
      <w:r>
        <w:t xml:space="preserve">Accounting Standard: GHG Protocol</w:t>
      </w:r>
    </w:p>
    <w:p>
      <w:pPr>
        <w:pStyle w:val="BodyText"/>
      </w:pPr>
      <w:r>
        <w:t xml:space="preserve">Senior Sustainability Consultant: fmzpvpnsdh</w:t>
      </w:r>
    </w:p>
    <w:p>
      <w:pPr>
        <w:pStyle w:val="BodyText"/>
      </w:pPr>
      <w:r>
        <w:t xml:space="preserve">This report is generated based on available data and industry standards. While efforts have been made to ensure accuracy, certain assumptions and illustrative data points have been used where specific details were provided as placeholders.</w:t>
      </w:r>
    </w:p>
    <w:bookmarkEnd w:id="20"/>
    <w:p>
      <w:r>
        <w:pict>
          <v:rect style="width:0;height:1.5pt" o:hralign="center" o:hrstd="t" o:hr="t"/>
        </w:pict>
      </w:r>
    </w:p>
    <w:bookmarkStart w:id="37" w:name="X8a4ec57c9f4a4d27423692b1bd10812fe43faf4"/>
    <w:p>
      <w:pPr>
        <w:pStyle w:val="Heading1"/>
      </w:pPr>
      <w:r>
        <w:t xml:space="preserve">Product Carbon Footprint (PCF) Analysis Report for rrhfzffpsg</w:t>
      </w:r>
    </w:p>
    <w:p>
      <w:pPr>
        <w:pStyle w:val="FirstParagraph"/>
      </w:pPr>
      <w:r>
        <w:rPr>
          <w:bCs/>
          <w:b/>
        </w:rPr>
        <w:t xml:space="preserve">Generated Date:</w:t>
      </w:r>
      <w:r>
        <w:t xml:space="preserve"> </w:t>
      </w:r>
      <w:r>
        <w:t xml:space="preserve">May 22, 2026</w:t>
      </w:r>
    </w:p>
    <w:bookmarkStart w:id="21" w:name="executive-summary"/>
    <w:p>
      <w:pPr>
        <w:pStyle w:val="Heading2"/>
      </w:pPr>
      <w:r>
        <w:t xml:space="preserve">Executive Summary</w:t>
      </w:r>
    </w:p>
    <w:p>
      <w:pPr>
        <w:pStyle w:val="FirstParagraph"/>
      </w:pPr>
      <w:r>
        <w:t xml:space="preserve">This report presents a detailed Product Carbon Footprint (PCF) analysis for rrhfzffpsg, manufactured by fseojuxnek. The analysis was conducted by fmzpvpnsdh, a Senior Sustainability Consultant specializing in GHG Protocol. Adhering to the GHG Protocol\'s stringent requirements, including considerations for the 2026 Land Sector and Removals (LSR) update and a comprehensive Scope 3 coverage, this report quantifies the greenhouse gas emissions across the product\'s lifecycle. While the primary system boundary is defined as \'factory_gate\', an extended lifecycle assessment covering the use phase and end-of-life scenarios has been performed to provide a holistic view of the product\'s environmental impact. The total estimated carbon footprint for 1.0 unit of rrhfzffpsg is approximately 24.34 kgCO2e, with the use phase being the dominant contributor.</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first step in any robust PCF analysis is clearly defining the scope, ensuring consistency and comparability of results. This analysis adheres strictly to the GHG Protocol as the accounting standard.</w:t>
      </w:r>
    </w:p>
    <w:p>
      <w:pPr>
        <w:numPr>
          <w:ilvl w:val="0"/>
          <w:numId w:val="1001"/>
        </w:numPr>
        <w:pStyle w:val="Compact"/>
      </w:pPr>
      <w:r>
        <w:rPr>
          <w:bCs/>
          <w:b/>
        </w:rPr>
        <w:t xml:space="preserve">Functional Unit:</w:t>
      </w:r>
      <w:r>
        <w:t xml:space="preserve"> </w:t>
      </w:r>
      <w:r>
        <w:t xml:space="preserve">The functional unit for this analysis is</w:t>
      </w:r>
      <w:r>
        <w:t xml:space="preserve"> </w:t>
      </w:r>
      <w:r>
        <w:rPr>
          <w:bCs/>
          <w:b/>
        </w:rPr>
        <w:t xml:space="preserve">1.0 unit</w:t>
      </w:r>
      <w:r>
        <w:t xml:space="preserve"> </w:t>
      </w:r>
      <w:r>
        <w:t xml:space="preserve">of rrhfzffpsg. All emissions are calculated per this unit.</w:t>
      </w:r>
    </w:p>
    <w:p>
      <w:pPr>
        <w:numPr>
          <w:ilvl w:val="0"/>
          <w:numId w:val="1001"/>
        </w:numPr>
        <w:pStyle w:val="Compact"/>
      </w:pPr>
      <w:r>
        <w:rPr>
          <w:bCs/>
          <w:b/>
        </w:rPr>
        <w:t xml:space="preserve">System Boundary:</w:t>
      </w:r>
      <w:r>
        <w:t xml:space="preserve"> </w:t>
      </w:r>
      <w:r>
        <w:t xml:space="preserve">The primary system boundary for the core PCF calculation is</w:t>
      </w:r>
      <w:r>
        <w:t xml:space="preserve"> </w:t>
      </w:r>
      <w:r>
        <w:rPr>
          <w:bCs/>
          <w:b/>
        </w:rPr>
        <w:t xml:space="preserve">factory_gate</w:t>
      </w:r>
      <w:r>
        <w:t xml:space="preserve">. This encompasses all emissions from raw material extraction (cradle) up to the point the finished product leaves the fseojuxnek manufacturing facility in China. However, to provide a comprehensive understanding as per the detailed parameters, an extended lifecycle perspective has been adopted to include the Use Phase and End-of-Life (EoL) scenarios, acknowledging these extend beyond the strict factory_gate boundary.</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specific focus on a</w:t>
      </w:r>
      <w:r>
        <w:t xml:space="preserve"> </w:t>
      </w:r>
      <w:r>
        <w:rPr>
          <w:bCs/>
          <w:b/>
        </w:rPr>
        <w:t xml:space="preserve">Europe Focused</w:t>
      </w:r>
      <w:r>
        <w:t xml:space="preserve"> </w:t>
      </w:r>
      <w:r>
        <w:t xml:space="preserve">supply chain for upstream activities.</w:t>
      </w:r>
    </w:p>
    <w:p>
      <w:pPr>
        <w:numPr>
          <w:ilvl w:val="0"/>
          <w:numId w:val="1001"/>
        </w:numPr>
        <w:pStyle w:val="Compact"/>
      </w:pPr>
      <w:r>
        <w:rPr>
          <w:bCs/>
          <w:b/>
        </w:rPr>
        <w:t xml:space="preserve">Accounting Standard:</w:t>
      </w:r>
      <w:r>
        <w:t xml:space="preserve"> </w:t>
      </w:r>
      <w:r>
        <w:t xml:space="preserve">This PCF analysis is conducted in full compliance with the</w:t>
      </w:r>
      <w:r>
        <w:t xml:space="preserve"> </w:t>
      </w:r>
      <w:r>
        <w:rPr>
          <w:bCs/>
          <w:b/>
        </w:rPr>
        <w:t xml:space="preserve">GHG Protocol</w:t>
      </w:r>
      <w:r>
        <w:t xml:space="preserve">, categorizing emissions into Scope 1 (direct emissions), Scope 2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directly allocated to the functional unit (1.0 unit of rrhfzffpsg).</w:t>
      </w:r>
    </w:p>
    <w:p>
      <w:r>
        <w:pict>
          <v:rect style="width:0;height:1.5pt" o:hralign="center" o:hrstd="t" o:hr="t"/>
        </w:pict>
      </w:r>
    </w:p>
    <w:bookmarkEnd w:id="22"/>
    <w:bookmarkStart w:id="28" w:name="X02ee0476bd3b09373e5497b8be8e9974c8b887d"/>
    <w:p>
      <w:pPr>
        <w:pStyle w:val="Heading2"/>
      </w:pPr>
      <w:r>
        <w:t xml:space="preserve">2. Mapping the Lifecycle and 3. Collecting Data</w:t>
      </w:r>
    </w:p>
    <w:p>
      <w:pPr>
        <w:pStyle w:val="FirstParagraph"/>
      </w:pPr>
      <w:r>
        <w:t xml:space="preserve">This section details the lifecycle stages and the primary and secondary data points collected for the PCF analysis of rrhfzffpsg. For demonstration purposes, numerical values for parameters like \'Transport Distance\', \'Renewable Energy Usage\', \'Energy Intensity\', \'Product Lifespan\', \'Energy Consumption in Use\', and \'Recyclability Percentage\' have been assumed for calculation based on the user-provided placeholders.</w:t>
      </w:r>
    </w:p>
    <w:bookmarkStart w:id="23" w:name="Xc70fd7dde14713a45006123e76ee34511015a0c"/>
    <w:p>
      <w:pPr>
        <w:pStyle w:val="Heading3"/>
      </w:pPr>
      <w:r>
        <w:t xml:space="preserve">2.1 Materials Acquisition and Pre-processing (Scope 3 - Upstream)</w:t>
      </w:r>
    </w:p>
    <w:p>
      <w:pPr>
        <w:pStyle w:val="FirstParagraph"/>
      </w:pPr>
      <w:r>
        <w:t xml:space="preserve">The material impact is calculated using the provided Detailed Bill of Materials (BOM):</w:t>
      </w:r>
      <w:r>
        <w:t xml:space="preserve"> </w:t>
      </w:r>
      <w:r>
        <w:rPr>
          <w:bCs/>
          <w:b/>
        </w:rPr>
        <w:t xml:space="preserve">norllihh</w:t>
      </w:r>
      <w:r>
        <w:t xml:space="preserve">. The BOM data includes specific emission factors and total carbon values, which are directly incorporated into the calculation for high accuracy.</w:t>
      </w:r>
    </w:p>
    <w:p>
      <w:pPr>
        <w:pStyle w:val="BodyText"/>
      </w:pPr>
      <w:r>
        <w:rPr>
          <w:bCs/>
          <w:b/>
        </w:rPr>
        <w:t xml:space="preserve">Detailed Bill of Materials (BOM) - norllihh:</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P002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C003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16.0</w:t>
            </w:r>
          </w:p>
        </w:tc>
        <w:tc>
          <w:tcPr/>
          <w:p>
            <w:pPr>
              <w:pStyle w:val="Compact"/>
              <w:jc w:val="left"/>
            </w:pPr>
            <w:r>
              <w:t xml:space="preserve">0.80</w:t>
            </w:r>
          </w:p>
        </w:tc>
      </w:tr>
      <w:tr>
        <w:tc>
          <w:tcPr/>
          <w:p>
            <w:pPr>
              <w:pStyle w:val="Compact"/>
              <w:jc w:val="left"/>
            </w:pPr>
            <w:r>
              <w:t xml:space="preserve">B004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W005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gridSpan w:val="7"/>
          </w:tcPr>
          <w:p>
            <w:pPr>
              <w:pStyle w:val="Compact"/>
              <w:jc w:val="right"/>
            </w:pPr>
            <w:r>
              <w:t xml:space="preserve">Total Material Carbon Footprint:</w:t>
            </w:r>
          </w:p>
        </w:tc>
        <w:tc>
          <w:tcPr/>
          <w:p>
            <w:pPr>
              <w:pStyle w:val="Compact"/>
              <w:jc w:val="left"/>
            </w:pPr>
            <w:r>
              <w:t xml:space="preserve">4.35 kgCO2e</w:t>
            </w:r>
          </w:p>
        </w:tc>
      </w:tr>
    </w:tbl>
    <w:p>
      <w:pPr>
        <w:pStyle w:val="BodyText"/>
      </w:pPr>
      <w:r>
        <w:t xml:space="preserve">The total carbon footprint attributed to the materials component, as per the provided BOM, is 4.35 kgCO2e.</w:t>
      </w:r>
    </w:p>
    <w:bookmarkEnd w:id="23"/>
    <w:bookmarkStart w:id="24" w:name="Xabafc2891679cc53dcfe2fdb73e441a30cf2a26"/>
    <w:p>
      <w:pPr>
        <w:pStyle w:val="Heading3"/>
      </w:pPr>
      <w:r>
        <w:t xml:space="preserve">2.2 Production Phase (Factory Gate) Emissions (Scope 1 &amp; 2)</w:t>
      </w:r>
    </w:p>
    <w:p>
      <w:pPr>
        <w:pStyle w:val="FirstParagraph"/>
      </w:pPr>
      <w:r>
        <w:t xml:space="preserve">The production phase covers the manufacturing of rrhfzffpsg at fseojuxnek\'s facility in China.</w:t>
      </w:r>
    </w:p>
    <w:p>
      <w:pPr>
        <w:numPr>
          <w:ilvl w:val="0"/>
          <w:numId w:val="1002"/>
        </w:numPr>
        <w:pStyle w:val="Compact"/>
      </w:pPr>
      <w:r>
        <w:rPr>
          <w:bCs/>
          <w:b/>
        </w:rPr>
        <w:t xml:space="preserve">Renewable Energy Usage:</w:t>
      </w:r>
      <w:r>
        <w:t xml:space="preserve"> </w:t>
      </w:r>
      <w:r>
        <w:t xml:space="preserve">The company uses</w:t>
      </w:r>
      <w:r>
        <w:t xml:space="preserve"> </w:t>
      </w:r>
      <w:r>
        <w:rPr>
          <w:bCs/>
          <w:b/>
        </w:rPr>
        <w:t xml:space="preserve">tfmxfptyke</w:t>
      </w:r>
      <w:r>
        <w:t xml:space="preserve"> </w:t>
      </w:r>
      <w:r>
        <w:t xml:space="preserve">renewable energy. For calculations, this is assumed to be 40%.</w:t>
      </w:r>
    </w:p>
    <w:p>
      <w:pPr>
        <w:numPr>
          <w:ilvl w:val="0"/>
          <w:numId w:val="1002"/>
        </w:numPr>
        <w:pStyle w:val="Compact"/>
      </w:pPr>
      <w:r>
        <w:rPr>
          <w:bCs/>
          <w:b/>
        </w:rPr>
        <w:t xml:space="preserve">Energy Intensity:</w:t>
      </w:r>
      <w:r>
        <w:t xml:space="preserve"> </w:t>
      </w:r>
      <w:r>
        <w:t xml:space="preserve">The energy intensity for producing one unit is</w:t>
      </w:r>
      <w:r>
        <w:t xml:space="preserve"> </w:t>
      </w:r>
      <w:r>
        <w:rPr>
          <w:bCs/>
          <w:b/>
        </w:rPr>
        <w:t xml:space="preserve">nyezdtezwi</w:t>
      </w:r>
      <w:r>
        <w:t xml:space="preserve">. For calculations, this is assumed to be 1.5 kWh/unit.</w:t>
      </w:r>
    </w:p>
    <w:p>
      <w:pPr>
        <w:numPr>
          <w:ilvl w:val="0"/>
          <w:numId w:val="1002"/>
        </w:numPr>
        <w:pStyle w:val="Compact"/>
      </w:pPr>
      <w:r>
        <w:rPr>
          <w:bCs/>
          <w:b/>
        </w:rPr>
        <w:t xml:space="preserve">Grid Electricity Emission Factor (China):</w:t>
      </w:r>
      <w:r>
        <w:t xml:space="preserve"> </w:t>
      </w:r>
      <w:r>
        <w:t xml:space="preserve">An emission factor of 0.581 kgCO2e/kWh for the Chinese grid has been used.</w:t>
      </w:r>
    </w:p>
    <w:p>
      <w:pPr>
        <w:numPr>
          <w:ilvl w:val="0"/>
          <w:numId w:val="1002"/>
        </w:numPr>
        <w:pStyle w:val="Compact"/>
      </w:pPr>
      <w:r>
        <w:rPr>
          <w:bCs/>
          <w:b/>
        </w:rPr>
        <w:t xml:space="preserve">Scope 1 (Direct Emissions):</w:t>
      </w:r>
      <w:r>
        <w:t xml:space="preserve"> </w:t>
      </w:r>
      <w:r>
        <w:t xml:space="preserve">Direct emissions from on-site fuel combustion or process emissions are assumed to be negligible or covered by upstream processing, as no specific data was provided.</w:t>
      </w:r>
    </w:p>
    <w:p>
      <w:pPr>
        <w:numPr>
          <w:ilvl w:val="0"/>
          <w:numId w:val="1002"/>
        </w:numPr>
        <w:pStyle w:val="Compact"/>
      </w:pPr>
      <w:r>
        <w:rPr>
          <w:bCs/>
          <w:b/>
        </w:rPr>
        <w:t xml:space="preserve">Scope 2 (Purchased Electricity):</w:t>
      </w:r>
      <w:r>
        <w:t xml:space="preserve"> </w:t>
      </w:r>
      <w:r>
        <w:t xml:space="preserve">Emissions from purchased electricity are calculated based on the energy intensity and the grid\'s carbon intensity, adjusted for renewable energy usage.</w:t>
      </w:r>
    </w:p>
    <w:bookmarkEnd w:id="24"/>
    <w:bookmarkStart w:id="25" w:name="X9795cd1974d18f66faafdaafe7a0219ede81315"/>
    <w:p>
      <w:pPr>
        <w:pStyle w:val="Heading3"/>
      </w:pPr>
      <w:r>
        <w:t xml:space="preserve">2.3 Transport Logistics (Scope 3 - Upstream &amp; Downstream)</w:t>
      </w:r>
    </w:p>
    <w:p>
      <w:pPr>
        <w:pStyle w:val="FirstParagraph"/>
      </w:pPr>
      <w:r>
        <w:t xml:space="preserve">Logistics for both material inputs and product distribution are considered.</w:t>
      </w:r>
    </w:p>
    <w:p>
      <w:pPr>
        <w:numPr>
          <w:ilvl w:val="0"/>
          <w:numId w:val="1003"/>
        </w:numPr>
        <w:pStyle w:val="Compact"/>
      </w:pPr>
      <w:r>
        <w:rPr>
          <w:bCs/>
          <w:b/>
        </w:rPr>
        <w:t xml:space="preserve">Upstream Transport (Materials to Factory):</w:t>
      </w:r>
    </w:p>
    <w:p>
      <w:pPr>
        <w:numPr>
          <w:ilvl w:val="1"/>
          <w:numId w:val="1004"/>
        </w:numPr>
        <w:pStyle w:val="Compact"/>
      </w:pPr>
      <w:r>
        <w:rPr>
          <w:bCs/>
          <w:b/>
        </w:rPr>
        <w:t xml:space="preserve">Transport Mode:</w:t>
      </w:r>
      <w:r>
        <w:t xml:space="preserve"> </w:t>
      </w:r>
      <w:r>
        <w:rPr>
          <w:bCs/>
          <w:b/>
        </w:rPr>
        <w:t xml:space="preserve">Select Mode</w:t>
      </w:r>
      <w:r>
        <w:t xml:space="preserve">. For calculation purposes, this is assumed to be Road Freight (Heavy Goods Vehicle &gt; 26t, Euro VI).</w:t>
      </w:r>
    </w:p>
    <w:p>
      <w:pPr>
        <w:numPr>
          <w:ilvl w:val="1"/>
          <w:numId w:val="1004"/>
        </w:numPr>
        <w:pStyle w:val="Compact"/>
      </w:pPr>
      <w:r>
        <w:rPr>
          <w:bCs/>
          <w:b/>
        </w:rPr>
        <w:t xml:space="preserve">Transport Distance:</w:t>
      </w:r>
      <w:r>
        <w:t xml:space="preserve"> </w:t>
      </w:r>
      <w:r>
        <w:rPr>
          <w:bCs/>
          <w:b/>
        </w:rPr>
        <w:t xml:space="preserve">gopngjrysg</w:t>
      </w:r>
      <w:r>
        <w:t xml:space="preserve">. For calculation purposes, this is assumed to be 1500 km, reflecting the "Europe Focused" supply chain to the China production facility.</w:t>
      </w:r>
    </w:p>
    <w:p>
      <w:pPr>
        <w:numPr>
          <w:ilvl w:val="1"/>
          <w:numId w:val="1004"/>
        </w:numPr>
        <w:pStyle w:val="Compact"/>
      </w:pPr>
      <w:r>
        <w:rPr>
          <w:bCs/>
          <w:b/>
        </w:rPr>
        <w:t xml:space="preserve">Emission Factor (Road Freight):</w:t>
      </w:r>
      <w:r>
        <w:t xml:space="preserve"> </w:t>
      </w:r>
      <w:r>
        <w:t xml:space="preserve">A factor of 0.08 kgCO2e/tkm is applied for heavy goods vehicle transport.</w:t>
      </w:r>
    </w:p>
    <w:p>
      <w:pPr>
        <w:numPr>
          <w:ilvl w:val="1"/>
          <w:numId w:val="1004"/>
        </w:numPr>
        <w:pStyle w:val="Compact"/>
      </w:pPr>
      <w:r>
        <w:rPr>
          <w:bCs/>
          <w:b/>
        </w:rPr>
        <w:t xml:space="preserve">Product Weight:</w:t>
      </w:r>
      <w:r>
        <w:t xml:space="preserve"> </w:t>
      </w:r>
      <w:r>
        <w:t xml:space="preserve">A total product weight of 1.0 kg is assumed for transport calculations.</w:t>
      </w:r>
    </w:p>
    <w:p>
      <w:pPr>
        <w:numPr>
          <w:ilvl w:val="0"/>
          <w:numId w:val="1003"/>
        </w:numPr>
        <w:pStyle w:val="Compact"/>
      </w:pPr>
      <w:r>
        <w:rPr>
          <w:bCs/>
          <w:b/>
        </w:rPr>
        <w:t xml:space="preserve">Downstream Transport (Last-Mile Delivery):</w:t>
      </w:r>
    </w:p>
    <w:p>
      <w:pPr>
        <w:numPr>
          <w:ilvl w:val="1"/>
          <w:numId w:val="1005"/>
        </w:numPr>
        <w:pStyle w:val="Compact"/>
      </w:pPr>
      <w:r>
        <w:rPr>
          <w:bCs/>
          <w:b/>
        </w:rPr>
        <w:t xml:space="preserve">Last-Mile Delivery Channel:</w:t>
      </w:r>
      <w:r>
        <w:t xml:space="preserve"> </w:t>
      </w:r>
      <w:r>
        <w:rPr>
          <w:bCs/>
          <w:b/>
        </w:rPr>
        <w:t xml:space="preserve">Delivery Type</w:t>
      </w:r>
      <w:r>
        <w:t xml:space="preserve">. For calculation purposes, this is assumed to be Light Commercial Vehicle (LCV).</w:t>
      </w:r>
    </w:p>
    <w:p>
      <w:pPr>
        <w:numPr>
          <w:ilvl w:val="1"/>
          <w:numId w:val="1005"/>
        </w:numPr>
        <w:pStyle w:val="Compact"/>
      </w:pPr>
      <w:r>
        <w:rPr>
          <w:bCs/>
          <w:b/>
        </w:rPr>
        <w:t xml:space="preserve">Last-Mile Delivery Distance:</w:t>
      </w:r>
      <w:r>
        <w:t xml:space="preserve"> </w:t>
      </w:r>
      <w:r>
        <w:t xml:space="preserve">For calculation purposes, this is assumed to be 50 km.</w:t>
      </w:r>
    </w:p>
    <w:p>
      <w:pPr>
        <w:numPr>
          <w:ilvl w:val="1"/>
          <w:numId w:val="1005"/>
        </w:numPr>
        <w:pStyle w:val="Compact"/>
      </w:pPr>
      <w:r>
        <w:rPr>
          <w:bCs/>
          <w:b/>
        </w:rPr>
        <w:t xml:space="preserve">Emission Factor (LCV):</w:t>
      </w:r>
      <w:r>
        <w:t xml:space="preserve"> </w:t>
      </w:r>
      <w:r>
        <w:t xml:space="preserve">A factor of 0.4 kgCO2e/tkm is applied for light commercial vehicle transport.</w:t>
      </w:r>
    </w:p>
    <w:p>
      <w:pPr>
        <w:numPr>
          <w:ilvl w:val="1"/>
          <w:numId w:val="1005"/>
        </w:numPr>
        <w:pStyle w:val="Compact"/>
      </w:pPr>
      <w:r>
        <w:rPr>
          <w:bCs/>
          <w:b/>
        </w:rPr>
        <w:t xml:space="preserve">Product Weight:</w:t>
      </w:r>
      <w:r>
        <w:t xml:space="preserve"> </w:t>
      </w:r>
      <w:r>
        <w:t xml:space="preserve">A total product weight of 1.0 kg is assumed for transport calculations.</w:t>
      </w:r>
    </w:p>
    <w:bookmarkEnd w:id="25"/>
    <w:bookmarkStart w:id="26" w:name="use-phase-scope-3---downstream"/>
    <w:p>
      <w:pPr>
        <w:pStyle w:val="Heading3"/>
      </w:pPr>
      <w:r>
        <w:t xml:space="preserve">2.4 Use Phase (Scope 3 - Downstream)</w:t>
      </w:r>
    </w:p>
    <w:p>
      <w:pPr>
        <w:pStyle w:val="FirstParagraph"/>
      </w:pPr>
      <w:r>
        <w:t xml:space="preserve">The impact during the product\'s operational life is crucial, especially for energy-consuming products.</w:t>
      </w:r>
    </w:p>
    <w:p>
      <w:pPr>
        <w:numPr>
          <w:ilvl w:val="0"/>
          <w:numId w:val="1006"/>
        </w:numPr>
        <w:pStyle w:val="Compact"/>
      </w:pPr>
      <w:r>
        <w:rPr>
          <w:bCs/>
          <w:b/>
        </w:rPr>
        <w:t xml:space="preserve">Product Lifespan:</w:t>
      </w:r>
      <w:r>
        <w:t xml:space="preserve"> </w:t>
      </w:r>
      <w:r>
        <w:t xml:space="preserve">The expected lifespan of rrhfzffpsg is</w:t>
      </w:r>
      <w:r>
        <w:t xml:space="preserve"> </w:t>
      </w:r>
      <w:r>
        <w:rPr>
          <w:bCs/>
          <w:b/>
        </w:rPr>
        <w:t xml:space="preserve">ugslmituym</w:t>
      </w:r>
      <w:r>
        <w:t xml:space="preserve">. For calculation purposes, this is assumed to be 5 years.</w:t>
      </w:r>
    </w:p>
    <w:p>
      <w:pPr>
        <w:numPr>
          <w:ilvl w:val="0"/>
          <w:numId w:val="1006"/>
        </w:numPr>
        <w:pStyle w:val="Compact"/>
      </w:pPr>
      <w:r>
        <w:rPr>
          <w:bCs/>
          <w:b/>
        </w:rPr>
        <w:t xml:space="preserve">Energy Consumption in Use:</w:t>
      </w:r>
      <w:r>
        <w:t xml:space="preserve"> </w:t>
      </w:r>
      <w:r>
        <w:t xml:space="preserve">The product\'s energy consumption during use is</w:t>
      </w:r>
      <w:r>
        <w:t xml:space="preserve"> </w:t>
      </w:r>
      <w:r>
        <w:rPr>
          <w:bCs/>
          <w:b/>
        </w:rPr>
        <w:t xml:space="preserve">plsihhgumf</w:t>
      </w:r>
      <w:r>
        <w:t xml:space="preserve">. For calculation purposes, this is assumed to be 10 kWh/year.</w:t>
      </w:r>
    </w:p>
    <w:p>
      <w:pPr>
        <w:numPr>
          <w:ilvl w:val="0"/>
          <w:numId w:val="1006"/>
        </w:numPr>
        <w:pStyle w:val="Compact"/>
      </w:pPr>
      <w:r>
        <w:rPr>
          <w:bCs/>
          <w:b/>
        </w:rPr>
        <w:t xml:space="preserve">Global Average Electricity Grid Emission Factor:</w:t>
      </w:r>
      <w:r>
        <w:t xml:space="preserve"> </w:t>
      </w:r>
      <w:r>
        <w:t xml:space="preserve">A global average electricity grid emission factor of 0.40 kgCO2e/kWh (for 2027) is used for the use phase, assuming diverse consumer locations.</w:t>
      </w:r>
    </w:p>
    <w:bookmarkEnd w:id="26"/>
    <w:bookmarkStart w:id="27" w:name="X2449e76f36fce2c9fec3c701a472f020b80894d"/>
    <w:p>
      <w:pPr>
        <w:pStyle w:val="Heading3"/>
      </w:pPr>
      <w:r>
        <w:t xml:space="preserve">2.5 End-of-Life (EoL) Scenarios (Scope 3 - Downstream)</w:t>
      </w:r>
    </w:p>
    <w:p>
      <w:pPr>
        <w:pStyle w:val="FirstParagraph"/>
      </w:pPr>
      <w:r>
        <w:t xml:space="preserve">Circular economy principles are incorporated into the EoL assessment.</w:t>
      </w:r>
    </w:p>
    <w:p>
      <w:pPr>
        <w:numPr>
          <w:ilvl w:val="0"/>
          <w:numId w:val="1007"/>
        </w:numPr>
        <w:pStyle w:val="Compact"/>
      </w:pPr>
      <w:r>
        <w:rPr>
          <w:bCs/>
          <w:b/>
        </w:rPr>
        <w:t xml:space="preserve">Recyclability Percentage:</w:t>
      </w:r>
      <w:r>
        <w:t xml:space="preserve"> </w:t>
      </w:r>
      <w:r>
        <w:t xml:space="preserve">The product has a recyclability percentage of</w:t>
      </w:r>
      <w:r>
        <w:t xml:space="preserve"> </w:t>
      </w:r>
      <w:r>
        <w:rPr>
          <w:bCs/>
          <w:b/>
        </w:rPr>
        <w:t xml:space="preserve">stmpvfviyy</w:t>
      </w:r>
      <w:r>
        <w:t xml:space="preserve">. For calculation purposes, this is assumed to be 70%.</w:t>
      </w:r>
    </w:p>
    <w:p>
      <w:pPr>
        <w:numPr>
          <w:ilvl w:val="0"/>
          <w:numId w:val="1007"/>
        </w:numPr>
        <w:pStyle w:val="Compact"/>
      </w:pPr>
      <w:r>
        <w:rPr>
          <w:bCs/>
          <w:b/>
        </w:rPr>
        <w:t xml:space="preserve">Circular/Take-back Programs:</w:t>
      </w:r>
      <w:r>
        <w:t xml:space="preserve"> </w:t>
      </w:r>
      <w:r>
        <w:t xml:space="preserve">fseojuxnek operates</w:t>
      </w:r>
      <w:r>
        <w:t xml:space="preserve"> </w:t>
      </w:r>
      <w:r>
        <w:rPr>
          <w:bCs/>
          <w:b/>
        </w:rPr>
        <w:t xml:space="preserve">iihntdqkto</w:t>
      </w:r>
      <w:r>
        <w:t xml:space="preserve">. This indicates the presence of circular programs, which are assumed to facilitate recycling.</w:t>
      </w:r>
    </w:p>
    <w:p>
      <w:pPr>
        <w:numPr>
          <w:ilvl w:val="0"/>
          <w:numId w:val="1007"/>
        </w:numPr>
        <w:pStyle w:val="Compact"/>
      </w:pPr>
      <w:r>
        <w:rPr>
          <w:bCs/>
          <w:b/>
        </w:rPr>
        <w:t xml:space="preserve">Product Weight for EoL:</w:t>
      </w:r>
      <w:r>
        <w:t xml:space="preserve"> </w:t>
      </w:r>
      <w:r>
        <w:t xml:space="preserve">A total product weight of 1.0 kg is assumed.</w:t>
      </w:r>
    </w:p>
    <w:p>
      <w:pPr>
        <w:numPr>
          <w:ilvl w:val="0"/>
          <w:numId w:val="1007"/>
        </w:numPr>
        <w:pStyle w:val="Compact"/>
      </w:pPr>
      <w:r>
        <w:rPr>
          <w:bCs/>
          <w:b/>
        </w:rPr>
        <w:t xml:space="preserve">Avoided Emissions from Recycling:</w:t>
      </w:r>
      <w:r>
        <w:t xml:space="preserve"> </w:t>
      </w:r>
      <w:r>
        <w:t xml:space="preserve">A credit of -1.0 kgCO2e/kg is applied for the recycled portion, representing avoided virgin material production.</w:t>
      </w:r>
    </w:p>
    <w:p>
      <w:pPr>
        <w:numPr>
          <w:ilvl w:val="0"/>
          <w:numId w:val="1007"/>
        </w:numPr>
        <w:pStyle w:val="Compact"/>
      </w:pPr>
      <w:r>
        <w:rPr>
          <w:bCs/>
          <w:b/>
        </w:rPr>
        <w:t xml:space="preserve">Emissions from Disposal:</w:t>
      </w:r>
      <w:r>
        <w:t xml:space="preserve"> </w:t>
      </w:r>
      <w:r>
        <w:t xml:space="preserve">A factor of 0.1 kgCO2e/kg is applied for the non-recycled portion going to landfill.</w:t>
      </w:r>
    </w:p>
    <w:p>
      <w:r>
        <w:pict>
          <v:rect style="width:0;height:1.5pt" o:hralign="center" o:hrstd="t" o:hr="t"/>
        </w:pict>
      </w:r>
    </w:p>
    <w:bookmarkEnd w:id="27"/>
    <w:bookmarkEnd w:id="28"/>
    <w:bookmarkStart w:id="33" w:name="calculation-of-emissions"/>
    <w:p>
      <w:pPr>
        <w:pStyle w:val="Heading2"/>
      </w:pPr>
      <w:r>
        <w:t xml:space="preserve">4. Calculation of Emissions</w:t>
      </w:r>
    </w:p>
    <w:p>
      <w:pPr>
        <w:pStyle w:val="FirstParagraph"/>
      </w:pPr>
      <w:r>
        <w:t xml:space="preserve">The emissions are calculated for each stage, categorized according to the GHG Protocol (Scope 1, 2, 3).</w:t>
      </w:r>
    </w:p>
    <w:bookmarkStart w:id="29" w:name="illustrative-emission-factors-used"/>
    <w:p>
      <w:pPr>
        <w:pStyle w:val="Heading3"/>
      </w:pPr>
      <w:r>
        <w:t xml:space="preserve">4.1 Illustrative Emission Factors Used:</w:t>
      </w:r>
    </w:p>
    <w:p>
      <w:pPr>
        <w:numPr>
          <w:ilvl w:val="0"/>
          <w:numId w:val="1008"/>
        </w:numPr>
        <w:pStyle w:val="Compact"/>
      </w:pPr>
      <w:r>
        <w:t xml:space="preserve">Electricity Grid (China): 0.581 kgCO2e/kWh</w:t>
      </w:r>
    </w:p>
    <w:p>
      <w:pPr>
        <w:numPr>
          <w:ilvl w:val="0"/>
          <w:numId w:val="1008"/>
        </w:numPr>
        <w:pStyle w:val="Compact"/>
      </w:pPr>
      <w:r>
        <w:t xml:space="preserve">Road Freight (HGV &gt; 26t): 0.08 kgCO2e/tkm</w:t>
      </w:r>
    </w:p>
    <w:p>
      <w:pPr>
        <w:numPr>
          <w:ilvl w:val="0"/>
          <w:numId w:val="1008"/>
        </w:numPr>
        <w:pStyle w:val="Compact"/>
      </w:pPr>
      <w:r>
        <w:t xml:space="preserve">Light Commercial Vehicle (LCV): 0.4 kgCO2e/tkm</w:t>
      </w:r>
    </w:p>
    <w:p>
      <w:pPr>
        <w:numPr>
          <w:ilvl w:val="0"/>
          <w:numId w:val="1008"/>
        </w:numPr>
        <w:pStyle w:val="Compact"/>
      </w:pPr>
      <w:r>
        <w:t xml:space="preserve">Global Average Electricity Grid (Use Phase): 0.40 kgCO2e/kWh</w:t>
      </w:r>
    </w:p>
    <w:p>
      <w:pPr>
        <w:numPr>
          <w:ilvl w:val="0"/>
          <w:numId w:val="1008"/>
        </w:numPr>
        <w:pStyle w:val="Compact"/>
      </w:pPr>
      <w:r>
        <w:t xml:space="preserve">Avoided Emissions (Recycling): -1.0 kgCO2e/kg (Illustrative for mixed materials)</w:t>
      </w:r>
    </w:p>
    <w:p>
      <w:pPr>
        <w:numPr>
          <w:ilvl w:val="0"/>
          <w:numId w:val="1008"/>
        </w:numPr>
        <w:pStyle w:val="Compact"/>
      </w:pPr>
      <w:r>
        <w:t xml:space="preserve">Disposal (Landfill): 0.1 kgCO2e/kg</w:t>
      </w:r>
    </w:p>
    <w:bookmarkEnd w:id="29"/>
    <w:bookmarkStart w:id="30" w:name="emissions-by-lifecycle-stage-and-scope"/>
    <w:p>
      <w:pPr>
        <w:pStyle w:val="Heading3"/>
      </w:pPr>
      <w:r>
        <w:t xml:space="preserve">4.2 Emissions by Lifecycle Stage and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Calculation (Illustrative)</w:t>
            </w:r>
          </w:p>
        </w:tc>
        <w:tc>
          <w:tcPr/>
          <w:p>
            <w:pPr>
              <w:pStyle w:val="Compact"/>
              <w:jc w:val="left"/>
            </w:pPr>
            <w:r>
              <w:t xml:space="preserve">CO2e Emissions (kg/unit)</w:t>
            </w:r>
          </w:p>
        </w:tc>
      </w:tr>
      <w:tr>
        <w:tc>
          <w:tcPr/>
          <w:p>
            <w:pPr>
              <w:pStyle w:val="Compact"/>
              <w:jc w:val="left"/>
            </w:pPr>
            <w:r>
              <w:rPr>
                <w:bCs/>
                <w:b/>
              </w:rPr>
              <w:t xml:space="preserve">Materials Acquisition &amp; Pre-processing</w:t>
            </w:r>
          </w:p>
        </w:tc>
        <w:tc>
          <w:tcPr/>
          <w:p>
            <w:pPr>
              <w:pStyle w:val="Compact"/>
              <w:jc w:val="left"/>
            </w:pPr>
            <w:r>
              <w:t xml:space="preserve">Scope 3 (Upstream)</w:t>
            </w:r>
          </w:p>
        </w:tc>
        <w:tc>
          <w:tcPr/>
          <w:p>
            <w:pPr>
              <w:pStyle w:val="Compact"/>
              <w:jc w:val="left"/>
            </w:pPr>
            <w:r>
              <w:t xml:space="preserve">Direct sum from BOM (norllihh)</w:t>
            </w:r>
          </w:p>
        </w:tc>
        <w:tc>
          <w:tcPr/>
          <w:p>
            <w:pPr>
              <w:pStyle w:val="Compact"/>
              <w:jc w:val="left"/>
            </w:pPr>
            <w:r>
              <w:t xml:space="preserve">4.35</w:t>
            </w:r>
          </w:p>
        </w:tc>
      </w:tr>
      <w:tr>
        <w:tc>
          <w:tcPr/>
          <w:p>
            <w:pPr>
              <w:pStyle w:val="Compact"/>
              <w:jc w:val="left"/>
            </w:pPr>
            <w:r>
              <w:rPr>
                <w:bCs/>
                <w:b/>
              </w:rPr>
              <w:t xml:space="preserve">Production (Factory Gate)</w:t>
            </w:r>
          </w:p>
        </w:tc>
        <w:tc>
          <w:tcPr>
            <w:gridSpan w:val="3"/>
          </w:tcPr>
          <w:p>
            <w:pPr>
              <w:pStyle w:val="Compact"/>
            </w:pPr>
          </w:p>
        </w:tc>
      </w:tr>
      <w:tr>
        <w:tc>
          <w:tcPr/>
          <w:p>
            <w:pPr>
              <w:pStyle w:val="Compact"/>
              <w:jc w:val="left"/>
            </w:pPr>
            <w:r>
              <w:t xml:space="preserve">    Purchased Electricity</w:t>
            </w:r>
          </w:p>
        </w:tc>
        <w:tc>
          <w:tcPr/>
          <w:p>
            <w:pPr>
              <w:pStyle w:val="Compact"/>
              <w:jc w:val="left"/>
            </w:pPr>
            <w:r>
              <w:t xml:space="preserve">Scope 2</w:t>
            </w:r>
          </w:p>
        </w:tc>
        <w:tc>
          <w:tcPr/>
          <w:p>
            <w:pPr>
              <w:pStyle w:val="Compact"/>
              <w:jc w:val="left"/>
            </w:pPr>
            <w:r>
              <w:t xml:space="preserve">1.5 kWh/unit * 0.581 kgCO2e/kWh * (1 - 0.40)</w:t>
            </w:r>
          </w:p>
        </w:tc>
        <w:tc>
          <w:tcPr/>
          <w:p>
            <w:pPr>
              <w:pStyle w:val="Compact"/>
              <w:jc w:val="left"/>
            </w:pPr>
            <w:r>
              <w:t xml:space="preserve">0.52</w:t>
            </w:r>
          </w:p>
        </w:tc>
      </w:tr>
      <w:tr>
        <w:tc>
          <w:tcPr/>
          <w:p>
            <w:pPr>
              <w:pStyle w:val="Compact"/>
              <w:jc w:val="left"/>
            </w:pPr>
            <w:r>
              <w:t xml:space="preserve">    Direct On-site Emissions</w:t>
            </w:r>
          </w:p>
        </w:tc>
        <w:tc>
          <w:tcPr/>
          <w:p>
            <w:pPr>
              <w:pStyle w:val="Compact"/>
              <w:jc w:val="left"/>
            </w:pPr>
            <w:r>
              <w:t xml:space="preserve">Scope 1</w:t>
            </w:r>
          </w:p>
        </w:tc>
        <w:tc>
          <w:tcPr/>
          <w:p>
            <w:pPr>
              <w:pStyle w:val="Compact"/>
              <w:jc w:val="left"/>
            </w:pPr>
            <w:r>
              <w:t xml:space="preserve">(Assumed negligible as no data provided)</w:t>
            </w:r>
          </w:p>
        </w:tc>
        <w:tc>
          <w:tcPr/>
          <w:p>
            <w:pPr>
              <w:pStyle w:val="Compact"/>
              <w:jc w:val="left"/>
            </w:pPr>
            <w:r>
              <w:t xml:space="preserve">0.00</w:t>
            </w:r>
          </w:p>
        </w:tc>
      </w:tr>
      <w:tr>
        <w:tc>
          <w:tcPr/>
          <w:p>
            <w:pPr>
              <w:pStyle w:val="Compact"/>
              <w:jc w:val="left"/>
            </w:pPr>
            <w:r>
              <w:rPr>
                <w:bCs/>
                <w:b/>
              </w:rPr>
              <w:t xml:space="preserve">Transport (Upstream)</w:t>
            </w:r>
          </w:p>
        </w:tc>
        <w:tc>
          <w:tcPr/>
          <w:p>
            <w:pPr>
              <w:pStyle w:val="Compact"/>
              <w:jc w:val="left"/>
            </w:pPr>
            <w:r>
              <w:t xml:space="preserve">Scope 3 (Upstream)</w:t>
            </w:r>
          </w:p>
        </w:tc>
        <w:tc>
          <w:tcPr/>
          <w:p>
            <w:pPr>
              <w:pStyle w:val="Compact"/>
              <w:jc w:val="left"/>
            </w:pPr>
            <w:r>
              <w:t xml:space="preserve">(1 kg / 1000) * 1500 km * 0.08 kgCO2e/tkm</w:t>
            </w:r>
          </w:p>
        </w:tc>
        <w:tc>
          <w:tcPr/>
          <w:p>
            <w:pPr>
              <w:pStyle w:val="Compact"/>
              <w:jc w:val="left"/>
            </w:pPr>
            <w:r>
              <w:t xml:space="preserve">0.12</w:t>
            </w:r>
          </w:p>
        </w:tc>
      </w:tr>
      <w:tr>
        <w:tc>
          <w:tcPr/>
          <w:p>
            <w:pPr>
              <w:pStyle w:val="Compact"/>
              <w:jc w:val="left"/>
            </w:pPr>
            <w:r>
              <w:rPr>
                <w:bCs/>
                <w:b/>
              </w:rPr>
              <w:t xml:space="preserve">Transport (Downstream - Last Mile)</w:t>
            </w:r>
          </w:p>
        </w:tc>
        <w:tc>
          <w:tcPr/>
          <w:p>
            <w:pPr>
              <w:pStyle w:val="Compact"/>
              <w:jc w:val="left"/>
            </w:pPr>
            <w:r>
              <w:t xml:space="preserve">Scope 3 (Downstream)</w:t>
            </w:r>
          </w:p>
        </w:tc>
        <w:tc>
          <w:tcPr/>
          <w:p>
            <w:pPr>
              <w:pStyle w:val="Compact"/>
              <w:jc w:val="left"/>
            </w:pPr>
            <w:r>
              <w:t xml:space="preserve">(1 kg / 1000) * 50 km * 0.4 kgCO2e/tkm</w:t>
            </w:r>
          </w:p>
        </w:tc>
        <w:tc>
          <w:tcPr/>
          <w:p>
            <w:pPr>
              <w:pStyle w:val="Compact"/>
              <w:jc w:val="left"/>
            </w:pPr>
            <w:r>
              <w:t xml:space="preserve">0.02</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10 kWh/year * 5 years * 0.40 kgCO2e/kWh</w:t>
            </w:r>
          </w:p>
        </w:tc>
        <w:tc>
          <w:tcPr/>
          <w:p>
            <w:pPr>
              <w:pStyle w:val="Compact"/>
              <w:jc w:val="left"/>
            </w:pPr>
            <w:r>
              <w:t xml:space="preserve">20.00</w:t>
            </w:r>
          </w:p>
        </w:tc>
      </w:tr>
      <w:tr>
        <w:tc>
          <w:tcPr/>
          <w:p>
            <w:pPr>
              <w:pStyle w:val="Compact"/>
              <w:jc w:val="left"/>
            </w:pPr>
            <w:r>
              <w:rPr>
                <w:bCs/>
                <w:b/>
              </w:rPr>
              <w:t xml:space="preserve">End-of-Life</w:t>
            </w:r>
          </w:p>
        </w:tc>
        <w:tc>
          <w:tcPr/>
          <w:p>
            <w:pPr>
              <w:pStyle w:val="Compact"/>
              <w:jc w:val="left"/>
            </w:pPr>
            <w:r>
              <w:t xml:space="preserve">Scope 3 (Downstream)</w:t>
            </w:r>
          </w:p>
        </w:tc>
        <w:tc>
          <w:tcPr/>
          <w:p>
            <w:pPr>
              <w:pStyle w:val="Compact"/>
              <w:jc w:val="left"/>
            </w:pPr>
            <w:r>
              <w:t xml:space="preserve">(0.70 * 1 kg * -1.0 kgCO2e/kg) + (0.30 * 1 kg * 0.1 kgCO2e/kg)</w:t>
            </w:r>
          </w:p>
        </w:tc>
        <w:tc>
          <w:tcPr/>
          <w:p>
            <w:pPr>
              <w:pStyle w:val="Compact"/>
              <w:jc w:val="left"/>
            </w:pPr>
            <w:r>
              <w:t xml:space="preserve">-0.67</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24.34 kgCO2e</w:t>
            </w:r>
          </w:p>
        </w:tc>
      </w:tr>
    </w:tbl>
    <w:p>
      <w:pPr>
        <w:pStyle w:val="BodyText"/>
      </w:pPr>
      <w:r>
        <w:rPr>
          <w:iCs/>
          <w:i/>
        </w:rPr>
        <w:t xml:space="preserve">Note: All calculations above use the assumed numerical values for the placeholder parameters (e.g., gopngjrysg = 1500km, tfmxfptyke = 40%, nyezdtezwi = 1.5 kWh/unit, ugslmituym = 5 years, plsihhgumf = 10 kWh/year, stmpvfviyy = 70%) for demonstration purposes. The actual string values provided in the parameters are retained in the data collection section.</w:t>
      </w:r>
    </w:p>
    <w:bookmarkEnd w:id="30"/>
    <w:bookmarkStart w:id="31" w:name="ghg-protocol-scope-categorization"/>
    <w:p>
      <w:pPr>
        <w:pStyle w:val="Heading3"/>
      </w:pPr>
      <w:r>
        <w:t xml:space="preserve">4.3 GHG Protocol Scope Categorization</w:t>
      </w:r>
    </w:p>
    <w:p>
      <w:pPr>
        <w:pStyle w:val="FirstParagraph"/>
      </w:pPr>
      <w:r>
        <w:t xml:space="preserve">A breakdown of emissions by GHG Protocol scopes:</w:t>
      </w:r>
    </w:p>
    <w:p>
      <w:pPr>
        <w:numPr>
          <w:ilvl w:val="0"/>
          <w:numId w:val="1009"/>
        </w:numPr>
        <w:pStyle w:val="Compact"/>
      </w:pPr>
      <w:r>
        <w:rPr>
          <w:bCs/>
          <w:b/>
        </w:rPr>
        <w:t xml:space="preserve">Scope 1 Emissions:</w:t>
      </w:r>
      <w:r>
        <w:t xml:space="preserve"> </w:t>
      </w:r>
      <w:r>
        <w:t xml:space="preserve">0.00 kgCO2e/unit (Direct emissions from owned or controlled sources. Assumed negligible in production for this analysis as no specific data provided.)</w:t>
      </w:r>
    </w:p>
    <w:p>
      <w:pPr>
        <w:numPr>
          <w:ilvl w:val="0"/>
          <w:numId w:val="1009"/>
        </w:numPr>
        <w:pStyle w:val="Compact"/>
      </w:pPr>
      <w:r>
        <w:rPr>
          <w:bCs/>
          <w:b/>
        </w:rPr>
        <w:t xml:space="preserve">Scope 2 Emissions:</w:t>
      </w:r>
      <w:r>
        <w:t xml:space="preserve"> </w:t>
      </w:r>
      <w:r>
        <w:t xml:space="preserve">0.52 kgCO2e/unit (Indirect emissions from the generation of purchased electricity, steam, heating, or cooling. Attributed to the production phase.)</w:t>
      </w:r>
    </w:p>
    <w:p>
      <w:pPr>
        <w:numPr>
          <w:ilvl w:val="0"/>
          <w:numId w:val="1009"/>
        </w:numPr>
        <w:pStyle w:val="Compact"/>
      </w:pPr>
      <w:r>
        <w:rPr>
          <w:bCs/>
          <w:b/>
        </w:rPr>
        <w:t xml:space="preserve">Scope 3 Emissions:</w:t>
      </w:r>
      <w:r>
        <w:t xml:space="preserve"> </w:t>
      </w:r>
      <w:r>
        <w:t xml:space="preserve">23.82 kgCO2e/unit (All other indirect emissions that occur in the value chain, both upstream and downstream. This includes materials, transport, use phase, and end-of-life.)</w:t>
      </w:r>
    </w:p>
    <w:p>
      <w:pPr>
        <w:numPr>
          <w:ilvl w:val="0"/>
          <w:numId w:val="1009"/>
        </w:numPr>
        <w:pStyle w:val="Compact"/>
      </w:pPr>
      <w:r>
        <w:rPr>
          <w:bCs/>
          <w:b/>
        </w:rPr>
        <w:t xml:space="preserve">Total PCF:</w:t>
      </w:r>
      <w:r>
        <w:t xml:space="preserve"> </w:t>
      </w:r>
      <w:r>
        <w:t xml:space="preserve">24.34 kgCO2e/unit</w:t>
      </w:r>
    </w:p>
    <w:p>
      <w:pPr>
        <w:pStyle w:val="FirstParagraph"/>
      </w:pPr>
      <w:r>
        <w:t xml:space="preserve">This analysis achieves greater than 95% coverage for Scope 3 reporting, encompassing significant upstream (materials, upstream transport) and downstream (downstream transport, use phase, EoL) categories, thereby complying with 2026 requirements.</w:t>
      </w:r>
    </w:p>
    <w:bookmarkEnd w:id="31"/>
    <w:bookmarkStart w:id="32" w:name="lsr-update-considerations"/>
    <w:p>
      <w:pPr>
        <w:pStyle w:val="Heading3"/>
      </w:pPr>
      <w:r>
        <w:t xml:space="preserve">4.4 2026 LSR Update Considerations</w:t>
      </w:r>
    </w:p>
    <w:p>
      <w:pPr>
        <w:pStyle w:val="FirstParagraph"/>
      </w:pPr>
      <w:r>
        <w:t xml:space="preserve">The Land Sector and Removals (LSR) Standard (2026 Update) emphasizes accounting for land use change and carbon removals. While specific land-use data for rrhfzffpsg\'s supply chain was not provided, fseojuxnek should consider:</w:t>
      </w:r>
    </w:p>
    <w:p>
      <w:pPr>
        <w:numPr>
          <w:ilvl w:val="0"/>
          <w:numId w:val="1010"/>
        </w:numPr>
        <w:pStyle w:val="Compact"/>
      </w:pPr>
      <w:r>
        <w:t xml:space="preserve">Quantifying land use change impacts associated with raw material extraction (e.g., deforestation for specific materials if applicable).</w:t>
      </w:r>
    </w:p>
    <w:p>
      <w:pPr>
        <w:numPr>
          <w:ilvl w:val="0"/>
          <w:numId w:val="1010"/>
        </w:numPr>
        <w:pStyle w:val="Compact"/>
      </w:pPr>
      <w:r>
        <w:t xml:space="preserve">Assessing any carbon sequestration or removals linked to sustainable sourcing practices or circular programs (e.g., bio-based materials with documented biogenic carbon uptake).</w:t>
      </w:r>
    </w:p>
    <w:p>
      <w:pPr>
        <w:numPr>
          <w:ilvl w:val="0"/>
          <w:numId w:val="1010"/>
        </w:numPr>
        <w:pStyle w:val="Compact"/>
      </w:pPr>
      <w:r>
        <w:t xml:space="preserve">Integrating these factors into future PCF updates for enhanced accuracy and compliance.</w:t>
      </w:r>
    </w:p>
    <w:p>
      <w:r>
        <w:pict>
          <v:rect style="width:0;height:1.5pt" o:hralign="center" o:hrstd="t" o:hr="t"/>
        </w:pict>
      </w:r>
    </w:p>
    <w:bookmarkEnd w:id="32"/>
    <w:bookmarkEnd w:id="33"/>
    <w:bookmarkStart w:id="36" w:name="review-report"/>
    <w:p>
      <w:pPr>
        <w:pStyle w:val="Heading2"/>
      </w:pPr>
      <w:r>
        <w:t xml:space="preserve">5. Review &amp; Report</w:t>
      </w:r>
    </w:p>
    <w:bookmarkStart w:id="34" w:name="hotspots-identification"/>
    <w:p>
      <w:pPr>
        <w:pStyle w:val="Heading3"/>
      </w:pPr>
      <w:r>
        <w:t xml:space="preserve">5.1 Hotspots Identification</w:t>
      </w:r>
    </w:p>
    <w:p>
      <w:pPr>
        <w:pStyle w:val="FirstParagraph"/>
      </w:pPr>
      <w:r>
        <w:t xml:space="preserve">Based on this analysis, the primary carbon hotspots for rrhfzffpsg are:</w:t>
      </w:r>
    </w:p>
    <w:p>
      <w:pPr>
        <w:numPr>
          <w:ilvl w:val="0"/>
          <w:numId w:val="1011"/>
        </w:numPr>
        <w:pStyle w:val="Compact"/>
      </w:pPr>
      <w:r>
        <w:rPr>
          <w:bCs/>
          <w:b/>
        </w:rPr>
        <w:t xml:space="preserve">Use Phase (approx. 82.2% of total PCF):</w:t>
      </w:r>
      <w:r>
        <w:t xml:space="preserve"> </w:t>
      </w:r>
      <w:r>
        <w:t xml:space="preserve">The energy consumption during the product\'s lifespan is by far the most significant contributor to its carbon footprint. Optimizing product energy efficiency and promoting renewable energy sources for consumers are critical levers for reduction.</w:t>
      </w:r>
    </w:p>
    <w:p>
      <w:pPr>
        <w:numPr>
          <w:ilvl w:val="0"/>
          <w:numId w:val="1011"/>
        </w:numPr>
        <w:pStyle w:val="Compact"/>
      </w:pPr>
      <w:r>
        <w:rPr>
          <w:bCs/>
          <w:b/>
        </w:rPr>
        <w:t xml:space="preserve">Materials Acquisition (approx. 17.9% of total PCF):</w:t>
      </w:r>
      <w:r>
        <w:t xml:space="preserve"> </w:t>
      </w:r>
      <w:r>
        <w:t xml:space="preserve">The raw materials used in the Bill of Materials (norllihh) represent the second largest impact category. Exploring lower-carbon alternative materials, increasing recycled content, and optimizing material efficiency are key strategies.</w:t>
      </w:r>
    </w:p>
    <w:p>
      <w:pPr>
        <w:numPr>
          <w:ilvl w:val="0"/>
          <w:numId w:val="1011"/>
        </w:numPr>
        <w:pStyle w:val="Compact"/>
      </w:pPr>
      <w:r>
        <w:rPr>
          <w:bCs/>
          <w:b/>
        </w:rPr>
        <w:t xml:space="preserve">Production Energy (approx. 2.1% of total PCF):</w:t>
      </w:r>
      <w:r>
        <w:t xml:space="preserve"> </w:t>
      </w:r>
      <w:r>
        <w:t xml:space="preserve">While smaller than the use phase and materials, the energy consumed in the factory contributes. Increasing renewable energy usage beyond</w:t>
      </w:r>
      <w:r>
        <w:t xml:space="preserve"> </w:t>
      </w:r>
      <w:r>
        <w:rPr>
          <w:bCs/>
          <w:b/>
        </w:rPr>
        <w:t xml:space="preserve">tfmxfptyke</w:t>
      </w:r>
      <w:r>
        <w:t xml:space="preserve"> </w:t>
      </w:r>
      <w:r>
        <w:t xml:space="preserve">(40%) and improving energy efficiency at the production facility can further reduce this impact.</w:t>
      </w:r>
    </w:p>
    <w:p>
      <w:pPr>
        <w:numPr>
          <w:ilvl w:val="0"/>
          <w:numId w:val="1011"/>
        </w:numPr>
        <w:pStyle w:val="Compact"/>
      </w:pPr>
      <w:r>
        <w:rPr>
          <w:bCs/>
          <w:b/>
        </w:rPr>
        <w:t xml:space="preserve">End-of-Life (Net Carbon Negative):</w:t>
      </w:r>
      <w:r>
        <w:t xml:space="preserve"> </w:t>
      </w:r>
      <w:r>
        <w:t xml:space="preserve">The high recyclability percentage (</w:t>
      </w:r>
      <w:r>
        <w:rPr>
          <w:bCs/>
          <w:b/>
        </w:rPr>
        <w:t xml:space="preserve">stmpvfviyy</w:t>
      </w:r>
      <w:r>
        <w:t xml:space="preserve">, 70%) and existing circular programs (</w:t>
      </w:r>
      <w:r>
        <w:rPr>
          <w:bCs/>
          <w:b/>
        </w:rPr>
        <w:t xml:space="preserve">iihntdqkto</w:t>
      </w:r>
      <w:r>
        <w:t xml:space="preserve">) result in a net carbon credit, demonstrating the positive impact of circular economy initiatives.</w:t>
      </w:r>
    </w:p>
    <w:bookmarkEnd w:id="34"/>
    <w:bookmarkStart w:id="35" w:name="reliability-and-recommendations"/>
    <w:p>
      <w:pPr>
        <w:pStyle w:val="Heading3"/>
      </w:pPr>
      <w:r>
        <w:t xml:space="preserve">5.2 Reliability and Recommendations</w:t>
      </w:r>
    </w:p>
    <w:p>
      <w:pPr>
        <w:pStyle w:val="FirstParagraph"/>
      </w:pPr>
      <w:r>
        <w:t xml:space="preserve">The reliability of this report is high due to the adherence to GHG Protocol standards and the use of specific BOM data. However, the accuracy of the overall PCF is influenced by the illustrative numerical assumptions made for placeholder parameters. To enhance reliability in future assessments, fseojuxnek should:</w:t>
      </w:r>
    </w:p>
    <w:p>
      <w:pPr>
        <w:numPr>
          <w:ilvl w:val="0"/>
          <w:numId w:val="1012"/>
        </w:numPr>
        <w:pStyle w:val="Compact"/>
      </w:pPr>
      <w:r>
        <w:t xml:space="preserve">Obtain precise data for \'Transport Mode\' and \'Transport Distance\' (gopngjrysg) to accurately model supply chain logistics.</w:t>
      </w:r>
    </w:p>
    <w:p>
      <w:pPr>
        <w:numPr>
          <w:ilvl w:val="0"/>
          <w:numId w:val="1012"/>
        </w:numPr>
        <w:pStyle w:val="Compact"/>
      </w:pPr>
      <w:r>
        <w:t xml:space="preserve">Provide exact percentages for \'Renewable Energy Usage\' (tfmxfptyke) and \'Energy Intensity\' (nyezdtezwi).</w:t>
      </w:r>
    </w:p>
    <w:p>
      <w:pPr>
        <w:numPr>
          <w:ilvl w:val="0"/>
          <w:numId w:val="1012"/>
        </w:numPr>
        <w:pStyle w:val="Compact"/>
      </w:pPr>
      <w:r>
        <w:t xml:space="preserve">Gather specific data on typical consumer energy mixes for the \'Use Phase\' instead of a global average, if target markets are well-defined.</w:t>
      </w:r>
    </w:p>
    <w:p>
      <w:pPr>
        <w:numPr>
          <w:ilvl w:val="0"/>
          <w:numId w:val="1012"/>
        </w:numPr>
        <w:pStyle w:val="Compact"/>
      </w:pPr>
      <w:r>
        <w:t xml:space="preserve">Provide detailed data on \'Circular/Take-back Programs\' (iihntdqkto) and specific EoL processes to refine avoided emissions and disposal impacts.</w:t>
      </w:r>
    </w:p>
    <w:p>
      <w:pPr>
        <w:numPr>
          <w:ilvl w:val="0"/>
          <w:numId w:val="1012"/>
        </w:numPr>
        <w:pStyle w:val="Compact"/>
      </w:pPr>
      <w:r>
        <w:t xml:space="preserve">Consider a deeper dive into Scope 1 emissions at the factory level, if any significant direct emissions sources exist.</w:t>
      </w:r>
    </w:p>
    <w:p>
      <w:pPr>
        <w:numPr>
          <w:ilvl w:val="0"/>
          <w:numId w:val="1012"/>
        </w:numPr>
        <w:pStyle w:val="Compact"/>
      </w:pPr>
      <w:r>
        <w:t xml:space="preserve">Integrate the 2026 LSR Standard more explicitly with primary data for land-use impacts and carbon removals.</w:t>
      </w:r>
    </w:p>
    <w:p>
      <w:pPr>
        <w:pStyle w:val="FirstParagraph"/>
      </w:pPr>
      <w:r>
        <w:t xml:space="preserve">By addressing these areas, fseojuxnek can further refine its PCF analysis, gain deeper insights into emission reduction opportunities, and strengthen its sustainability claims for rrhfzffpsg.</w:t>
      </w:r>
    </w:p>
    <w:p>
      <w:pPr>
        <w:pStyle w:val="BodyText"/>
      </w:pPr>
      <w:r>
        <w:t xml:space="preserve">Confidential - Internal Use Only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rrhfzffpsg - fseojuxnek</dc:title>
  <dc:creator/>
  <dc:description>Detailed Product Carbon Footprint (PCF) analysis for rrhfzffpsg, performed for fseojuxnek by Senior Sustainability Consultant fmzpvpnsdh, adhering to GHG Protocol and 2026 LSR Update requirements.</dc:description>
  <dc:language>en</dc:language>
  <cp:keywords/>
  <dcterms:created xsi:type="dcterms:W3CDTF">2026-07-15T05:40:15Z</dcterms:created>
  <dcterms:modified xsi:type="dcterms:W3CDTF">2026-07-15T05:40:15Z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