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rqwsrvyfvv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rqwsrvyfvv</w:t>
      </w:r>
    </w:p>
    <w:p>
      <w:pPr>
        <w:pStyle w:val="BodyText"/>
      </w:pPr>
      <w:r>
        <w:t xml:space="preserve">Company: wpmwkwrnpj</w:t>
      </w:r>
    </w:p>
    <w:p>
      <w:pPr>
        <w:pStyle w:val="BodyText"/>
      </w:pPr>
      <w:r>
        <w:t xml:space="preserve">Senior Sustainability Consultant: ldhhgozmxr</w:t>
      </w:r>
    </w:p>
    <w:p>
      <w:pPr>
        <w:pStyle w:val="BodyText"/>
      </w:pPr>
      <w:r>
        <w:t xml:space="preserve">Protocol Data (Accounting Standard): GHG Protocol</w:t>
      </w:r>
    </w:p>
    <w:p>
      <w:pPr>
        <w:pStyle w:val="BodyText"/>
      </w:pPr>
      <w:r>
        <w:t xml:space="preserve">Disclaimer: This report is generated based on available data and industry standards, incorporating necessary assumptions for placeholder parameters. While every effort has been made to ensure accuracy, the actual footprint may vary with more precise primary data.</w:t>
      </w:r>
    </w:p>
    <w:bookmarkEnd w:id="20"/>
    <w:bookmarkStart w:id="21" w:name="X32799e36b7c9ccc78a89e29838eb77284c79fff"/>
    <w:p>
      <w:pPr>
        <w:pStyle w:val="Heading1"/>
      </w:pPr>
      <w:r>
        <w:t xml:space="preserve">Product Carbon Footprint Analysis for rqwsrvyfvv</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rqwsrvyfvv, manufactured by wpmwkwrnpj. The analysis was conducted by ldhhgozmxr, a Senior Sustainability Consultant, adhering strictly to the Greenhouse Gas (GHG) Protocol standards and incorporating the latest 2026 Land Sector and Removals (LSR) update. The primary objective is to quantify the greenhouse gas emissions across the product\'s lifecycle, identify emission hotspots, and provide a foundation for targeted reduction strategies. The study utilizes a cradle-to-gate system boundary with a focus on upstream and core manufacturing processes, while also extending to the use phase and end-of-life scenarios to achieve comprehensive Scope 3 coverage. Emissions are categorized into Scope 1, 2, and 3 as per GHG Protocol requirements. Key parameters, including a detailed Bill of Materials, transport logistics, energy usage, and end-of-life scenarios, have been specifically incorporated to enhance accuracy.</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first step in this Product Carbon Footprint (PCF) analysis is to clearly define the scope, ensuring consistency and transparency in the accounting process.</w:t>
      </w:r>
    </w:p>
    <w:bookmarkStart w:id="23" w:name="functional-unit"/>
    <w:p>
      <w:pPr>
        <w:pStyle w:val="Heading3"/>
      </w:pPr>
      <w:r>
        <w:t xml:space="preserve">Functional Unit</w:t>
      </w:r>
    </w:p>
    <w:p>
      <w:pPr>
        <w:numPr>
          <w:ilvl w:val="0"/>
          <w:numId w:val="1001"/>
        </w:numPr>
        <w:pStyle w:val="Compact"/>
      </w:pPr>
      <w:r>
        <w:t xml:space="preserve">The functional unit for this PCF analysis is **1.0 unit of rqwsrvyfvv**. This unit serves as the reference basis for all quantified environmental impacts.</w:t>
      </w:r>
    </w:p>
    <w:bookmarkEnd w:id="23"/>
    <w:bookmarkStart w:id="24" w:name="system-boundary"/>
    <w:p>
      <w:pPr>
        <w:pStyle w:val="Heading3"/>
      </w:pPr>
      <w:r>
        <w:t xml:space="preserve">System Boundary</w:t>
      </w:r>
    </w:p>
    <w:p>
      <w:pPr>
        <w:numPr>
          <w:ilvl w:val="0"/>
          <w:numId w:val="1002"/>
        </w:numPr>
        <w:pStyle w:val="Compact"/>
      </w:pPr>
      <w:r>
        <w:t xml:space="preserve">The system boundary is defined as **"factory_gate"**, encompassing all processes from raw material extraction (cradle) through manufacturing (gate) in China, including inbound logistics from the supply chain focused in Europe. Additionally, to achieve comprehensive Scope 3 coverage as per 2026 requirements, the analysis extends beyond the factory gate to include the product\'s use phase and end-of-life treatment.</w:t>
      </w:r>
    </w:p>
    <w:p>
      <w:pPr>
        <w:numPr>
          <w:ilvl w:val="0"/>
          <w:numId w:val="1002"/>
        </w:numPr>
        <w:pStyle w:val="Compact"/>
      </w:pPr>
      <w:r>
        <w:t xml:space="preserve">**Included Stages:**</w:t>
      </w:r>
    </w:p>
    <w:p>
      <w:pPr>
        <w:numPr>
          <w:ilvl w:val="1"/>
          <w:numId w:val="1003"/>
        </w:numPr>
        <w:pStyle w:val="Compact"/>
      </w:pPr>
      <w:r>
        <w:t xml:space="preserve">Raw Material Acquisition and Pre-processing (Upstream/Scope 3)</w:t>
      </w:r>
    </w:p>
    <w:p>
      <w:pPr>
        <w:numPr>
          <w:ilvl w:val="1"/>
          <w:numId w:val="1003"/>
        </w:numPr>
        <w:pStyle w:val="Compact"/>
      </w:pPr>
      <w:r>
        <w:t xml:space="preserve">Manufacturing/Production (Scope 1 &amp; 2)</w:t>
      </w:r>
    </w:p>
    <w:p>
      <w:pPr>
        <w:numPr>
          <w:ilvl w:val="1"/>
          <w:numId w:val="1003"/>
        </w:numPr>
        <w:pStyle w:val="Compact"/>
      </w:pPr>
      <w:r>
        <w:t xml:space="preserve">Transportation (Upstream &amp; Downstream/Scope 3)</w:t>
      </w:r>
    </w:p>
    <w:p>
      <w:pPr>
        <w:numPr>
          <w:ilvl w:val="1"/>
          <w:numId w:val="1003"/>
        </w:numPr>
        <w:pStyle w:val="Compact"/>
      </w:pPr>
      <w:r>
        <w:t xml:space="preserve">Use Phase (Downstream/Scope 3)</w:t>
      </w:r>
    </w:p>
    <w:p>
      <w:pPr>
        <w:numPr>
          <w:ilvl w:val="1"/>
          <w:numId w:val="1003"/>
        </w:numPr>
        <w:pStyle w:val="Compact"/>
      </w:pPr>
      <w:r>
        <w:t xml:space="preserve">End-of-Life Treatment (Downstream/Scope 3)</w:t>
      </w:r>
    </w:p>
    <w:p>
      <w:pPr>
        <w:numPr>
          <w:ilvl w:val="0"/>
          <w:numId w:val="1002"/>
        </w:numPr>
        <w:pStyle w:val="Compact"/>
      </w:pPr>
      <w:r>
        <w:t xml:space="preserve">**Excluded Stages:** While all significant emission sources are aimed to be covered for 95% Scope 3 compliance, certain non-material administrative emissions (e.g., corporate travel not directly linked to product manufacturing, employee commuting) are generally outside the direct product PCF boundary unless deemed highly significant.</w:t>
      </w:r>
    </w:p>
    <w:bookmarkEnd w:id="24"/>
    <w:bookmarkStart w:id="25" w:name="geographic-scope"/>
    <w:p>
      <w:pPr>
        <w:pStyle w:val="Heading3"/>
      </w:pPr>
      <w:r>
        <w:t xml:space="preserve">Geographic Scope</w:t>
      </w:r>
    </w:p>
    <w:p>
      <w:pPr>
        <w:numPr>
          <w:ilvl w:val="0"/>
          <w:numId w:val="1004"/>
        </w:numPr>
        <w:pStyle w:val="Compact"/>
      </w:pPr>
      <w:r>
        <w:t xml:space="preserve">**Final Production Country:** China</w:t>
      </w:r>
    </w:p>
    <w:p>
      <w:pPr>
        <w:numPr>
          <w:ilvl w:val="0"/>
          <w:numId w:val="1004"/>
        </w:numPr>
        <w:pStyle w:val="Compact"/>
      </w:pPr>
      <w:r>
        <w:t xml:space="preserve">**Supply Chain Focus:** Europe Focused (implying raw materials and components are largely sourced from or processed in Europe before shipment to China for final assembly, or significant transport routes pass through Europe).</w:t>
      </w:r>
    </w:p>
    <w:p>
      <w:pPr>
        <w:numPr>
          <w:ilvl w:val="0"/>
          <w:numId w:val="1004"/>
        </w:numPr>
        <w:pStyle w:val="Compact"/>
      </w:pPr>
      <w:r>
        <w:t xml:space="preserve">This dual geographic focus necessitates the use of region-specific emission factors for electricity grids, transportation, and material production where available.</w:t>
      </w:r>
    </w:p>
    <w:bookmarkEnd w:id="25"/>
    <w:bookmarkStart w:id="26" w:name="allocation"/>
    <w:p>
      <w:pPr>
        <w:pStyle w:val="Heading3"/>
      </w:pPr>
      <w:r>
        <w:t xml:space="preserve">Allocation</w:t>
      </w:r>
    </w:p>
    <w:p>
      <w:pPr>
        <w:numPr>
          <w:ilvl w:val="0"/>
          <w:numId w:val="1005"/>
        </w:numPr>
        <w:pStyle w:val="Compact"/>
      </w:pPr>
      <w:r>
        <w:t xml:space="preserve">Mass allocation is primarily used for co-products and waste streams where relevant, based on industry-standard allocation principles, ensuring that environmental burdens are fairly distributed.</w:t>
      </w:r>
    </w:p>
    <w:p>
      <w:r>
        <w:pict>
          <v:rect style="width:0;height:1.5pt" o:hralign="center" o:hrstd="t" o:hr="t"/>
        </w:pict>
      </w:r>
    </w:p>
    <w:bookmarkEnd w:id="26"/>
    <w:bookmarkEnd w:id="27"/>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of rqwsrvyfvv and the data collected for each, distinguishing between primary and secondary data points and outlining assumptions made for placeholder values. The emphasis is on adhering to GHG Protocol principles for comprehensive inventory compilation.</w:t>
      </w:r>
    </w:p>
    <w:bookmarkStart w:id="28" w:name="assumptions-for-placeholder-parameters"/>
    <w:p>
      <w:pPr>
        <w:pStyle w:val="Heading3"/>
      </w:pPr>
      <w:r>
        <w:t xml:space="preserve">Assumptions for Placeholder Parameters:</w:t>
      </w:r>
    </w:p>
    <w:p>
      <w:pPr>
        <w:pStyle w:val="FirstParagraph"/>
      </w:pPr>
      <w:r>
        <w:t xml:space="preserve">Given that some parameters were provided as placeholders, the following reasonable assumptions have been made for quantitative analysis:</w:t>
      </w:r>
    </w:p>
    <w:p>
      <w:pPr>
        <w:numPr>
          <w:ilvl w:val="0"/>
          <w:numId w:val="1006"/>
        </w:numPr>
        <w:pStyle w:val="Compact"/>
      </w:pPr>
      <w:r>
        <w:t xml:space="preserve">**Detailed Bill of Materials (BOM):** The provided parameter `ltsswnle` is interpreted as a placeholder for actual BOM data. A representative BOM has been constructed adhering to the specified format (ID, Description, Category, Process, Qty, Unit, Emission Factor, Total Carbon). The \'Total Carbon\' value from the BOM is directly used for material impact.</w:t>
      </w:r>
    </w:p>
    <w:p>
      <w:pPr>
        <w:numPr>
          <w:ilvl w:val="1"/>
          <w:numId w:val="1007"/>
        </w:numPr>
        <w:pStyle w:val="Compact"/>
      </w:pPr>
      <w:r>
        <w:t xml:space="preserve">Plastic Casing: 0.5 kg, Injection Molding, Emission Factor (from BOM): 2.5 kg CO2e/kg, Total Carbon: 1.25 kg CO2e.</w:t>
      </w:r>
    </w:p>
    <w:p>
      <w:pPr>
        <w:numPr>
          <w:ilvl w:val="1"/>
          <w:numId w:val="1007"/>
        </w:numPr>
        <w:pStyle w:val="Compact"/>
      </w:pPr>
      <w:r>
        <w:t xml:space="preserve">Metal Screws: 0.05 kg, Machining, Emission Factor (from BOM): 4.0 kg CO2e/kg, Total Carbon: 0.20 kg CO2e.</w:t>
      </w:r>
    </w:p>
    <w:p>
      <w:pPr>
        <w:numPr>
          <w:ilvl w:val="1"/>
          <w:numId w:val="1007"/>
        </w:numPr>
        <w:pStyle w:val="Compact"/>
      </w:pPr>
      <w:r>
        <w:t xml:space="preserve">Electronic Components: 0.1 kg, Assembly, Emission Factor (from BOM): 10.0 kg CO2e/kg, Total Carbon: 1.00 kg CO2e.</w:t>
      </w:r>
    </w:p>
    <w:p>
      <w:pPr>
        <w:numPr>
          <w:ilvl w:val="1"/>
          <w:numId w:val="1007"/>
        </w:numPr>
        <w:pStyle w:val="Compact"/>
      </w:pPr>
      <w:r>
        <w:t xml:space="preserve">Packaging (Cardboard): 0.2 kg, Production, Emission Factor (from BOM): 1.0 kg CO2e/kg, Total Carbon: 0.20 kg CO2e.</w:t>
      </w:r>
    </w:p>
    <w:p>
      <w:pPr>
        <w:numPr>
          <w:ilvl w:val="0"/>
          <w:numId w:val="1006"/>
        </w:numPr>
        <w:pStyle w:val="Compact"/>
      </w:pPr>
      <w:r>
        <w:t xml:space="preserve">**Transport Mode:** "Road freight (Heavy Goods Vehicle, long haul)" for main components to China, and "Light Commercial Vehicle" for last-mile delivery.</w:t>
      </w:r>
    </w:p>
    <w:p>
      <w:pPr>
        <w:numPr>
          <w:ilvl w:val="0"/>
          <w:numId w:val="1006"/>
        </w:numPr>
        <w:pStyle w:val="Compact"/>
      </w:pPr>
      <w:r>
        <w:t xml:space="preserve">**Transport Distance:** `jlrtdpkroz` is assumed to be 5,000 km for international transport (Europe to China) and 50 km for last-mile delivery.</w:t>
      </w:r>
    </w:p>
    <w:p>
      <w:pPr>
        <w:numPr>
          <w:ilvl w:val="0"/>
          <w:numId w:val="1006"/>
        </w:numPr>
        <w:pStyle w:val="Compact"/>
      </w:pPr>
      <w:r>
        <w:t xml:space="preserve">**Last-Mile Delivery Channel:** "Light Commercial Vehicle".</w:t>
      </w:r>
    </w:p>
    <w:p>
      <w:pPr>
        <w:numPr>
          <w:ilvl w:val="0"/>
          <w:numId w:val="1006"/>
        </w:numPr>
        <w:pStyle w:val="Compact"/>
      </w:pPr>
      <w:r>
        <w:t xml:space="preserve">**Renewable Energy Usage:** `ooxqgqrprj` is assumed to be 30% for the production facility in China.</w:t>
      </w:r>
    </w:p>
    <w:p>
      <w:pPr>
        <w:numPr>
          <w:ilvl w:val="0"/>
          <w:numId w:val="1006"/>
        </w:numPr>
        <w:pStyle w:val="Compact"/>
      </w:pPr>
      <w:r>
        <w:t xml:space="preserve">**Energy Intensity (kWh/unit):** `mgfgggvflk` is assumed to be 10 kWh/unit.</w:t>
      </w:r>
    </w:p>
    <w:p>
      <w:pPr>
        <w:numPr>
          <w:ilvl w:val="0"/>
          <w:numId w:val="1006"/>
        </w:numPr>
        <w:pStyle w:val="Compact"/>
      </w:pPr>
      <w:r>
        <w:t xml:space="preserve">**Product Lifespan:** `xkqyrvftii` is assumed to be 5 years.</w:t>
      </w:r>
    </w:p>
    <w:p>
      <w:pPr>
        <w:numPr>
          <w:ilvl w:val="0"/>
          <w:numId w:val="1006"/>
        </w:numPr>
        <w:pStyle w:val="Compact"/>
      </w:pPr>
      <w:r>
        <w:t xml:space="preserve">**Energy Consumption in Use:** `odvrughkom` is assumed to be 20 kWh/year.</w:t>
      </w:r>
    </w:p>
    <w:p>
      <w:pPr>
        <w:numPr>
          <w:ilvl w:val="0"/>
          <w:numId w:val="1006"/>
        </w:numPr>
        <w:pStyle w:val="Compact"/>
      </w:pPr>
      <w:r>
        <w:t xml:space="preserve">**Recyclability Percentage:** `rfhzpddwxw` is assumed to be 60%.</w:t>
      </w:r>
    </w:p>
    <w:p>
      <w:pPr>
        <w:numPr>
          <w:ilvl w:val="0"/>
          <w:numId w:val="1006"/>
        </w:numPr>
        <w:pStyle w:val="Compact"/>
      </w:pPr>
      <w:r>
        <w:t xml:space="preserve">**Circular/Take-back Programs:** `zpkouwugnq` is assumed to indicate that "Company wpmwkwrnpj has active take-back and refurbishment programs for rqwsrvyfvv."</w:t>
      </w:r>
    </w:p>
    <w:bookmarkEnd w:id="28"/>
    <w:bookmarkStart w:id="34" w:name="detailed-data-breakdown-lci-inventory"/>
    <w:p>
      <w:pPr>
        <w:pStyle w:val="Heading3"/>
      </w:pPr>
      <w:r>
        <w:t xml:space="preserve">Detailed Data Breakdown (LCI Inventory)</w:t>
      </w:r>
    </w:p>
    <w:bookmarkStart w:id="29" w:name="X6f025004e01d6a0da09655fd6930d0457933e7c"/>
    <w:p>
      <w:pPr>
        <w:pStyle w:val="Heading4"/>
      </w:pPr>
      <w:r>
        <w:t xml:space="preserve">Materials Acquisition &amp; Pre-processing (Scope 3 - Upstream, Category 1: Purchased Goods and Services)</w:t>
      </w:r>
    </w:p>
    <w:p>
      <w:pPr>
        <w:pStyle w:val="FirstParagraph"/>
      </w:pPr>
      <w:r>
        <w:t xml:space="preserve">This covers the extraction, processing, and manufacturing of raw materials and components as per the 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t xml:space="preserve">Total Material Mass for rqwsrvyfvv = 0.5 + 0.05 + 0.1 + 0.2 = 0.85 kg.</w:t>
      </w:r>
    </w:p>
    <w:p>
      <w:pPr>
        <w:pStyle w:val="BodyText"/>
      </w:pPr>
      <w:r>
        <w:t xml:space="preserve">Total Carbon from BOM = 1.25 + 0.20 + 1.00 + 0.20 = 2.65 kg CO2e.</w:t>
      </w:r>
    </w:p>
    <w:bookmarkEnd w:id="29"/>
    <w:bookmarkStart w:id="30" w:name="production-phase-energy-inputs-scope-1-2"/>
    <w:p>
      <w:pPr>
        <w:pStyle w:val="Heading4"/>
      </w:pPr>
      <w:r>
        <w:t xml:space="preserve">Production Phase Energy Inputs (Scope 1 &amp; 2)</w:t>
      </w:r>
    </w:p>
    <w:p>
      <w:pPr>
        <w:numPr>
          <w:ilvl w:val="0"/>
          <w:numId w:val="1008"/>
        </w:numPr>
        <w:pStyle w:val="Compact"/>
      </w:pPr>
      <w:r>
        <w:t xml:space="preserve">**Electricity Consumption:** 10 kWh/unit (mgfgggvflk).</w:t>
      </w:r>
    </w:p>
    <w:p>
      <w:pPr>
        <w:numPr>
          <w:ilvl w:val="0"/>
          <w:numId w:val="1008"/>
        </w:numPr>
        <w:pStyle w:val="Compact"/>
      </w:pPr>
      <w:r>
        <w:t xml:space="preserve">**Renewable Energy Share:** 30% (ooxqgqrprj).</w:t>
      </w:r>
    </w:p>
    <w:p>
      <w:pPr>
        <w:numPr>
          <w:ilvl w:val="0"/>
          <w:numId w:val="1008"/>
        </w:numPr>
        <w:pStyle w:val="Compact"/>
      </w:pPr>
      <w:r>
        <w:t xml:space="preserve">**Grid Mix (China):** Assumed average emission factor for electricity in China. For 2022, a national average of 0.6205 kg CO2e/kWh has been reported, with some sources indicating 0.556 kg CO2e/kWh for 2019/2020. We will use 0.577 kg CO2e/kWh (average for China Power Grid, based on 2020 data).</w:t>
      </w:r>
    </w:p>
    <w:p>
      <w:pPr>
        <w:numPr>
          <w:ilvl w:val="0"/>
          <w:numId w:val="1008"/>
        </w:numPr>
        <w:pStyle w:val="Compact"/>
      </w:pPr>
      <w:r>
        <w:t xml:space="preserve">**Direct Fuel Consumption (Scope 1):** No specific data provided (`factory_gate` boundary often includes direct site emissions). Assuming minimal direct fuel combustion (e.g., for heating/cooling not covered by electricity) or included within the overall energy intensity. If significant, primary data collection would be required. For this report, Scope 1 is assumed to be negligible compared to Scope 2 and 3 given the available parameters.</w:t>
      </w:r>
    </w:p>
    <w:bookmarkEnd w:id="30"/>
    <w:bookmarkStart w:id="31" w:name="X9795cd1974d18f66faafdaafe7a0219ede81315"/>
    <w:p>
      <w:pPr>
        <w:pStyle w:val="Heading4"/>
      </w:pPr>
      <w:r>
        <w:t xml:space="preserve">Transport Logistics (Scope 3 - Upstream &amp; Downstream)</w:t>
      </w:r>
    </w:p>
    <w:p>
      <w:pPr>
        <w:numPr>
          <w:ilvl w:val="0"/>
          <w:numId w:val="1009"/>
        </w:numPr>
        <w:pStyle w:val="Compact"/>
      </w:pPr>
      <w:r>
        <w:t xml:space="preserve">**Upstream Transport (Components from Europe to China):**</w:t>
      </w:r>
    </w:p>
    <w:p>
      <w:pPr>
        <w:numPr>
          <w:ilvl w:val="1"/>
          <w:numId w:val="1010"/>
        </w:numPr>
        <w:pStyle w:val="Compact"/>
      </w:pPr>
      <w:r>
        <w:t xml:space="preserve">Mode: Road freight (Heavy Goods Vehicle, long haul) (Select Mode).</w:t>
      </w:r>
    </w:p>
    <w:p>
      <w:pPr>
        <w:numPr>
          <w:ilvl w:val="1"/>
          <w:numId w:val="1010"/>
        </w:numPr>
        <w:pStyle w:val="Compact"/>
      </w:pPr>
      <w:r>
        <w:t xml:space="preserve">Distance: 5,000 km (jlrtdpkroz).</w:t>
      </w:r>
    </w:p>
    <w:p>
      <w:pPr>
        <w:numPr>
          <w:ilvl w:val="1"/>
          <w:numId w:val="1010"/>
        </w:numPr>
        <w:pStyle w:val="Compact"/>
      </w:pPr>
      <w:r>
        <w:t xml:space="preserve">Total Mass Transported: 0.85 kg (Total product mass, excluding packaging for initial transport; assuming packaging is added in China).</w:t>
      </w:r>
    </w:p>
    <w:p>
      <w:pPr>
        <w:numPr>
          <w:ilvl w:val="1"/>
          <w:numId w:val="1010"/>
        </w:numPr>
        <w:pStyle w:val="Compact"/>
      </w:pPr>
      <w:r>
        <w:t xml:space="preserve">Emission Factor: Road freight (HGV &gt;20t) in Europe is approximately 0.092 kg CO2e/tonne-km (well-to-wheel). Other sources suggest 62g CO2/tonne-km (0.062 kg CO2e/tonne-km) for average road transport operations. We\'ll use an average of 0.08 kg CO2e/tonne-km to account for the long-haul journey.</w:t>
      </w:r>
    </w:p>
    <w:p>
      <w:pPr>
        <w:numPr>
          <w:ilvl w:val="0"/>
          <w:numId w:val="1009"/>
        </w:numPr>
        <w:pStyle w:val="Compact"/>
      </w:pPr>
      <w:r>
        <w:t xml:space="preserve">**Last-Mile Delivery (within China):**</w:t>
      </w:r>
    </w:p>
    <w:p>
      <w:pPr>
        <w:numPr>
          <w:ilvl w:val="1"/>
          <w:numId w:val="1011"/>
        </w:numPr>
        <w:pStyle w:val="Compact"/>
      </w:pPr>
      <w:r>
        <w:t xml:space="preserve">Mode: Light Commercial Vehicle (Delivery Type).</w:t>
      </w:r>
    </w:p>
    <w:p>
      <w:pPr>
        <w:numPr>
          <w:ilvl w:val="1"/>
          <w:numId w:val="1011"/>
        </w:numPr>
        <w:pStyle w:val="Compact"/>
      </w:pPr>
      <w:r>
        <w:t xml:space="preserve">Distance: 50 km (jlrtdpkroz placeholder interpreted for last-mile).</w:t>
      </w:r>
    </w:p>
    <w:p>
      <w:pPr>
        <w:numPr>
          <w:ilvl w:val="1"/>
          <w:numId w:val="1011"/>
        </w:numPr>
        <w:pStyle w:val="Compact"/>
      </w:pPr>
      <w:r>
        <w:t xml:space="preserve">Total Mass Transported: 0.85 kg (product mass including packaging).</w:t>
      </w:r>
    </w:p>
    <w:p>
      <w:pPr>
        <w:numPr>
          <w:ilvl w:val="1"/>
          <w:numId w:val="1011"/>
        </w:numPr>
        <w:pStyle w:val="Compact"/>
      </w:pPr>
      <w:r>
        <w:t xml:space="preserve">Emission Factor: Light commercial vehicle emission factors vary, with some sources indicating around 0.15 kg CO2e/km for the vehicle itself. Since this is per vehicle-km and not tonne-km, we will estimate a per-product emission factor based on typical parcel weights or use a general road freight factor for smaller loads. For simplicity and conservatism, we will use an average of 0.21 kg CO2e per 2kg package per 1000km, or 0.105 kg CO2e/kg per 1000km. This converts to 0.000105 kg CO2e/kg-km.</w:t>
      </w:r>
    </w:p>
    <w:bookmarkEnd w:id="31"/>
    <w:bookmarkStart w:id="32" w:name="X9710a1f2b0e729ce5517b1e51ea26033b8823d9"/>
    <w:p>
      <w:pPr>
        <w:pStyle w:val="Heading4"/>
      </w:pPr>
      <w:r>
        <w:t xml:space="preserve">Use Phase (Scope 3 - Downstream, Category 11: Use of Sold Products)</w:t>
      </w:r>
    </w:p>
    <w:p>
      <w:pPr>
        <w:numPr>
          <w:ilvl w:val="0"/>
          <w:numId w:val="1012"/>
        </w:numPr>
        <w:pStyle w:val="Compact"/>
      </w:pPr>
      <w:r>
        <w:t xml:space="preserve">**Product Lifespan:** 5 years (xkqyrvftii).</w:t>
      </w:r>
    </w:p>
    <w:p>
      <w:pPr>
        <w:numPr>
          <w:ilvl w:val="0"/>
          <w:numId w:val="1012"/>
        </w:numPr>
        <w:pStyle w:val="Compact"/>
      </w:pPr>
      <w:r>
        <w:t xml:space="preserve">**Energy Consumption in Use:** 20 kWh/year (odvrughkom).</w:t>
      </w:r>
    </w:p>
    <w:p>
      <w:pPr>
        <w:numPr>
          <w:ilvl w:val="0"/>
          <w:numId w:val="1012"/>
        </w:numPr>
        <w:pStyle w:val="Compact"/>
      </w:pPr>
      <w:r>
        <w:t xml:space="preserve">**Electricity Grid Emission Factor:** Assumed to be an average European grid mix for the use phase (since supply chain is Europe focused, implying end-users might be in Europe). Average European grid emission factor for electricity can range, we will assume 0.25 kg CO2e/kWh as a representative average.</w:t>
      </w:r>
    </w:p>
    <w:bookmarkEnd w:id="32"/>
    <w:bookmarkStart w:id="33" w:name="X4483b5f7f9ca4bda396d83e49fff7f6dbf58af5"/>
    <w:p>
      <w:pPr>
        <w:pStyle w:val="Heading4"/>
      </w:pPr>
      <w:r>
        <w:t xml:space="preserve">End-of-Life (EoL) Scenarios (Scope 3 - Downstream, Category 12: End-of-Life Treatment of Sold Products)</w:t>
      </w:r>
    </w:p>
    <w:p>
      <w:pPr>
        <w:numPr>
          <w:ilvl w:val="0"/>
          <w:numId w:val="1013"/>
        </w:numPr>
        <w:pStyle w:val="Compact"/>
      </w:pPr>
      <w:r>
        <w:t xml:space="preserve">**Recyclability Percentage:** 60% (rfhzpddwxw).</w:t>
      </w:r>
    </w:p>
    <w:p>
      <w:pPr>
        <w:numPr>
          <w:ilvl w:val="0"/>
          <w:numId w:val="1013"/>
        </w:numPr>
        <w:pStyle w:val="Compact"/>
      </w:pPr>
      <w:r>
        <w:t xml:space="preserve">**Circular/Take-back Programs:** "Company wpmwkwrnpj has active take-back and refurbishment programs for rqwsrvyfvv" (zpkouwugnq). This indicates efforts to extend product life and potentially reduce virgin material demand, leading to avoided emissions.</w:t>
      </w:r>
    </w:p>
    <w:p>
      <w:pPr>
        <w:numPr>
          <w:ilvl w:val="0"/>
          <w:numId w:val="1013"/>
        </w:numPr>
        <w:pStyle w:val="Compact"/>
      </w:pPr>
      <w:r>
        <w:t xml:space="preserve">**Waste Treatment Emission Factors:**</w:t>
      </w:r>
    </w:p>
    <w:p>
      <w:pPr>
        <w:numPr>
          <w:ilvl w:val="1"/>
          <w:numId w:val="1014"/>
        </w:numPr>
        <w:pStyle w:val="Compact"/>
      </w:pPr>
      <w:r>
        <w:t xml:space="preserve">Landfill: For non-recycled portion. Average landfill emission factors for mixed waste can be around 0.3 kg CO2e/kg for general waste. Some sources suggest 33 kg CO2e per tonne of plastic waste landfilled (0.033 kg CO2e/kg). We will use 0.033 kg CO2e/kg as a conservative estimate for the landfill portion of plastic. For metals, landfill emissions are generally low.</w:t>
      </w:r>
    </w:p>
    <w:p>
      <w:pPr>
        <w:numPr>
          <w:ilvl w:val="1"/>
          <w:numId w:val="1014"/>
        </w:numPr>
        <w:pStyle w:val="Compact"/>
      </w:pPr>
      <w:r>
        <w:t xml:space="preserve">Recycling: Emissions associated with collection and processing of recyclable materials. Recycling processes also have emissions. For plastic recycling, emissions can be around 0.202 kg CO2e/kg for closed-loop recycling. For mixed metals recycling, emissions can be 0.230 kg CO2e/short ton (approx. 0.254 kg CO2e/tonne or 0.000254 kg CO2e/kg).</w:t>
      </w:r>
    </w:p>
    <w:p>
      <w:pPr>
        <w:numPr>
          <w:ilvl w:val="1"/>
          <w:numId w:val="1014"/>
        </w:numPr>
        <w:pStyle w:val="Compact"/>
      </w:pPr>
      <w:r>
        <w:t xml:space="preserve">Avoided Emissions from Recycling: Recycling replaces virgin material production, leading to avoided emissions. For plastics, recycling can avoid ~2 to 3 kg CO2e/kg compared to virgin production and incineration. For steel, recycling saves 1.5 tonnes of CO2 per tonne. For aluminum, 9 tonnes of CO2 per tonne. We will use a general avoided emission factor for plastics of 2.0 kg CO2e/kg and for metals of 1.5 kg CO2e/kg.</w:t>
      </w:r>
    </w:p>
    <w:p>
      <w:r>
        <w:pict>
          <v:rect style="width:0;height:1.5pt" o:hralign="center" o:hrstd="t" o:hr="t"/>
        </w:pict>
      </w:r>
    </w:p>
    <w:bookmarkEnd w:id="33"/>
    <w:bookmarkEnd w:id="34"/>
    <w:bookmarkEnd w:id="35"/>
    <w:bookmarkStart w:id="50"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by GHG Protocol scopes. All calculations are performed in kg CO2e.</w:t>
      </w:r>
    </w:p>
    <w:bookmarkStart w:id="36" w:name="scope-1-emissions-direct-emissions"/>
    <w:p>
      <w:pPr>
        <w:pStyle w:val="Heading3"/>
      </w:pPr>
      <w:r>
        <w:t xml:space="preserve">Scope 1 Emissions (Direct Emissions)</w:t>
      </w:r>
    </w:p>
    <w:p>
      <w:pPr>
        <w:pStyle w:val="FirstParagraph"/>
      </w:pPr>
      <w:r>
        <w:t xml:space="preserve">As per the defined system boundary and available data, direct GHG emissions from company-owned or controlled sources (e.g., on-site fuel combustion) for the manufacturing of rqwsrvyfvv are assumed to be negligible or integrated into Scope 2 for simplicity, due to lack of specific direct fuel consumption data. If such data were available, they would be reported here.</w:t>
      </w:r>
    </w:p>
    <w:p>
      <w:pPr>
        <w:numPr>
          <w:ilvl w:val="0"/>
          <w:numId w:val="1015"/>
        </w:numPr>
        <w:pStyle w:val="Compact"/>
      </w:pPr>
      <w:r>
        <w:t xml:space="preserve">**Total Scope 1 Emissions:** 0.00 kg CO2e</w:t>
      </w:r>
    </w:p>
    <w:bookmarkEnd w:id="36"/>
    <w:bookmarkStart w:id="37" w:name="scope-2-emissions-purchased-energy"/>
    <w:p>
      <w:pPr>
        <w:pStyle w:val="Heading3"/>
      </w:pPr>
      <w:r>
        <w:t xml:space="preserve">Scope 2 Emissions (Purchased Energy)</w:t>
      </w:r>
    </w:p>
    <w:p>
      <w:pPr>
        <w:pStyle w:val="FirstParagraph"/>
      </w:pPr>
      <w:r>
        <w:t xml:space="preserve">These are indirect emissions from the generation of purchased electricity consumed by the production facility in China.</w:t>
      </w:r>
    </w:p>
    <w:p>
      <w:pPr>
        <w:numPr>
          <w:ilvl w:val="0"/>
          <w:numId w:val="1016"/>
        </w:numPr>
        <w:pStyle w:val="Compact"/>
      </w:pPr>
      <w:r>
        <w:t xml:space="preserve">Total Energy Intensity: 10 kWh/unit</w:t>
      </w:r>
    </w:p>
    <w:p>
      <w:pPr>
        <w:numPr>
          <w:ilvl w:val="0"/>
          <w:numId w:val="1016"/>
        </w:numPr>
        <w:pStyle w:val="Compact"/>
      </w:pPr>
      <w:r>
        <w:t xml:space="preserve">Renewable Energy Usage: 30%</w:t>
      </w:r>
    </w:p>
    <w:p>
      <w:pPr>
        <w:numPr>
          <w:ilvl w:val="0"/>
          <w:numId w:val="1016"/>
        </w:numPr>
        <w:pStyle w:val="Compact"/>
      </w:pPr>
      <w:r>
        <w:t xml:space="preserve">Non-Renewable Electricity: 10 kWh/unit * (1 - 0.30) = 7 kWh/unit</w:t>
      </w:r>
    </w:p>
    <w:p>
      <w:pPr>
        <w:numPr>
          <w:ilvl w:val="0"/>
          <w:numId w:val="1016"/>
        </w:numPr>
        <w:pStyle w:val="Compact"/>
      </w:pPr>
      <w:r>
        <w:t xml:space="preserve">Renewable Electricity: 10 kWh/unit * 0.30 = 3 kWh/unit</w:t>
      </w:r>
    </w:p>
    <w:p>
      <w:pPr>
        <w:numPr>
          <w:ilvl w:val="0"/>
          <w:numId w:val="1016"/>
        </w:numPr>
        <w:pStyle w:val="Compact"/>
      </w:pPr>
      <w:r>
        <w:t xml:space="preserve">China Grid Emission Factor: 0.577 kg CO2e/kWh</w:t>
      </w:r>
    </w:p>
    <w:p>
      <w:pPr>
        <w:numPr>
          <w:ilvl w:val="0"/>
          <w:numId w:val="1016"/>
        </w:numPr>
        <w:pStyle w:val="Compact"/>
      </w:pPr>
      <w:r>
        <w:t xml:space="preserve">Renewable Energy Emission Factor: Assumed 0.0 kg CO2e/kWh (for certified renewable sources).</w:t>
      </w:r>
    </w:p>
    <w:p>
      <w:pPr>
        <w:numPr>
          <w:ilvl w:val="0"/>
          <w:numId w:val="1016"/>
        </w:numPr>
        <w:pStyle w:val="Compact"/>
      </w:pPr>
      <w:r>
        <w:t xml:space="preserve">**Calculation:** (7 kWh/unit * 0.577 kg CO2e/kWh) + (3 kWh/unit * 0.0 kg CO2e/kWh) = 4.039 kg CO2e/unit</w:t>
      </w:r>
    </w:p>
    <w:p>
      <w:pPr>
        <w:numPr>
          <w:ilvl w:val="0"/>
          <w:numId w:val="1016"/>
        </w:numPr>
        <w:pStyle w:val="Compact"/>
      </w:pPr>
      <w:r>
        <w:t xml:space="preserve">**Total Scope 2 Emissions:** 4.04 kg CO2e/unit</w:t>
      </w:r>
    </w:p>
    <w:bookmarkEnd w:id="37"/>
    <w:bookmarkStart w:id="47" w:name="scope-3-emissions-value-chain-emissions"/>
    <w:p>
      <w:pPr>
        <w:pStyle w:val="Heading3"/>
      </w:pPr>
      <w:r>
        <w:t xml:space="preserve">Scope 3 Emissions (Value Chain Emissions)</w:t>
      </w:r>
    </w:p>
    <w:p>
      <w:pPr>
        <w:pStyle w:val="FirstParagraph"/>
      </w:pPr>
      <w:r>
        <w:t xml:space="preserve">Scope 3 emissions encompass all other indirect emissions from the value chain, both upstream and downstream. Achieving at least 95% coverage is crucial for 2026 compliance.</w:t>
      </w:r>
    </w:p>
    <w:bookmarkStart w:id="38" w:name="purchased-goods-and-services-upstream"/>
    <w:p>
      <w:pPr>
        <w:pStyle w:val="Heading4"/>
      </w:pPr>
      <w:r>
        <w:t xml:space="preserve">3.1. Purchased Goods and Services (Upstream)</w:t>
      </w:r>
    </w:p>
    <w:p>
      <w:pPr>
        <w:pStyle w:val="FirstParagraph"/>
      </w:pPr>
      <w:r>
        <w:t xml:space="preserve">Emissions from the extraction, production, and processing of raw materials and components (from BOM).</w:t>
      </w:r>
    </w:p>
    <w:p>
      <w:pPr>
        <w:numPr>
          <w:ilvl w:val="0"/>
          <w:numId w:val="1017"/>
        </w:numPr>
        <w:pStyle w:val="Compact"/>
      </w:pPr>
      <w:r>
        <w:t xml:space="preserve">**Total Carbon from BOM:** 2.65 kg CO2e (Sum of \'Total Carbon\' column from BOM table).</w:t>
      </w:r>
    </w:p>
    <w:p>
      <w:pPr>
        <w:numPr>
          <w:ilvl w:val="0"/>
          <w:numId w:val="1017"/>
        </w:numPr>
        <w:pStyle w:val="Compact"/>
      </w:pPr>
      <w:r>
        <w:t xml:space="preserve">**Total Scope 3.1 Emissions:** 2.65 kg CO2e/unit</w:t>
      </w:r>
    </w:p>
    <w:bookmarkEnd w:id="38"/>
    <w:bookmarkStart w:id="39" w:name="X83d952162bbb56409471d540037eb6192a96f5c"/>
    <w:p>
      <w:pPr>
        <w:pStyle w:val="Heading4"/>
      </w:pPr>
      <w:r>
        <w:t xml:space="preserve">3.4. Upstream Transportation and Distribution (Upstream)</w:t>
      </w:r>
    </w:p>
    <w:p>
      <w:pPr>
        <w:pStyle w:val="FirstParagraph"/>
      </w:pPr>
      <w:r>
        <w:t xml:space="preserve">Emissions from transporting raw materials and components from Europe to the production facility in China.</w:t>
      </w:r>
    </w:p>
    <w:p>
      <w:pPr>
        <w:numPr>
          <w:ilvl w:val="0"/>
          <w:numId w:val="1018"/>
        </w:numPr>
        <w:pStyle w:val="Compact"/>
      </w:pPr>
      <w:r>
        <w:t xml:space="preserve">Mass of Materials: 0.85 kg = 0.00085 tonnes</w:t>
      </w:r>
    </w:p>
    <w:p>
      <w:pPr>
        <w:numPr>
          <w:ilvl w:val="0"/>
          <w:numId w:val="1018"/>
        </w:numPr>
        <w:pStyle w:val="Compact"/>
      </w:pPr>
      <w:r>
        <w:t xml:space="preserve">Distance: 5,000 km</w:t>
      </w:r>
    </w:p>
    <w:p>
      <w:pPr>
        <w:numPr>
          <w:ilvl w:val="0"/>
          <w:numId w:val="1018"/>
        </w:numPr>
        <w:pStyle w:val="Compact"/>
      </w:pPr>
      <w:r>
        <w:t xml:space="preserve">Emission Factor (Road freight HGV): 0.08 kg CO2e/tonne-km (average)</w:t>
      </w:r>
    </w:p>
    <w:p>
      <w:pPr>
        <w:numPr>
          <w:ilvl w:val="0"/>
          <w:numId w:val="1018"/>
        </w:numPr>
        <w:pStyle w:val="Compact"/>
      </w:pPr>
      <w:r>
        <w:t xml:space="preserve">**Calculation:** 0.00085 tonnes * 5,000 km * 0.08 kg CO2e/tonne-km = 0.34 kg CO2e/unit</w:t>
      </w:r>
    </w:p>
    <w:p>
      <w:pPr>
        <w:numPr>
          <w:ilvl w:val="0"/>
          <w:numId w:val="1018"/>
        </w:numPr>
        <w:pStyle w:val="Compact"/>
      </w:pPr>
      <w:r>
        <w:t xml:space="preserve">**Total Scope 3.4 Emissions:** 0.34 kg CO2e/unit</w:t>
      </w:r>
    </w:p>
    <w:bookmarkEnd w:id="39"/>
    <w:bookmarkStart w:id="40" w:name="X901674ee93e819d8e1ab712f4cfa196d463b29c"/>
    <w:p>
      <w:pPr>
        <w:pStyle w:val="Heading4"/>
      </w:pPr>
      <w:r>
        <w:t xml:space="preserve">3.9. Downstream Transportation and Distribution (Downstream)</w:t>
      </w:r>
    </w:p>
    <w:p>
      <w:pPr>
        <w:pStyle w:val="FirstParagraph"/>
      </w:pPr>
      <w:r>
        <w:t xml:space="preserve">Emissions from last-mile delivery of the finished product to the end-user in Europe.</w:t>
      </w:r>
    </w:p>
    <w:p>
      <w:pPr>
        <w:numPr>
          <w:ilvl w:val="0"/>
          <w:numId w:val="1019"/>
        </w:numPr>
        <w:pStyle w:val="Compact"/>
      </w:pPr>
      <w:r>
        <w:t xml:space="preserve">Mass of Product (including packaging): 0.85 kg</w:t>
      </w:r>
    </w:p>
    <w:p>
      <w:pPr>
        <w:numPr>
          <w:ilvl w:val="0"/>
          <w:numId w:val="1019"/>
        </w:numPr>
        <w:pStyle w:val="Compact"/>
      </w:pPr>
      <w:r>
        <w:t xml:space="preserve">Distance: 50 km</w:t>
      </w:r>
    </w:p>
    <w:p>
      <w:pPr>
        <w:numPr>
          <w:ilvl w:val="0"/>
          <w:numId w:val="1019"/>
        </w:numPr>
        <w:pStyle w:val="Compact"/>
      </w:pPr>
      <w:r>
        <w:t xml:space="preserve">Emission Factor (Light Commercial Vehicle): 0.000105 kg CO2e/kg-km (derived from 0.105 kg CO2e/kg per 1000km for 2kg package)</w:t>
      </w:r>
    </w:p>
    <w:p>
      <w:pPr>
        <w:numPr>
          <w:ilvl w:val="0"/>
          <w:numId w:val="1019"/>
        </w:numPr>
        <w:pStyle w:val="Compact"/>
      </w:pPr>
      <w:r>
        <w:t xml:space="preserve">**Calculation:** 0.85 kg * 50 km * 0.000105 kg CO2e/kg-km = 0.00446 kg CO2e/unit (approx. 0.004 kg CO2e/unit)</w:t>
      </w:r>
    </w:p>
    <w:p>
      <w:pPr>
        <w:numPr>
          <w:ilvl w:val="0"/>
          <w:numId w:val="1019"/>
        </w:numPr>
        <w:pStyle w:val="Compact"/>
      </w:pPr>
      <w:r>
        <w:t xml:space="preserve">**Total Scope 3.9 Emissions:** 0.004 kg CO2e/unit</w:t>
      </w:r>
    </w:p>
    <w:bookmarkEnd w:id="40"/>
    <w:bookmarkStart w:id="41" w:name="use-of-sold-products-downstream"/>
    <w:p>
      <w:pPr>
        <w:pStyle w:val="Heading4"/>
      </w:pPr>
      <w:r>
        <w:t xml:space="preserve">3.11. Use of Sold Products (Downstream)</w:t>
      </w:r>
    </w:p>
    <w:p>
      <w:pPr>
        <w:pStyle w:val="FirstParagraph"/>
      </w:pPr>
      <w:r>
        <w:t xml:space="preserve">Emissions from the energy consumed by the product during its lifespan.</w:t>
      </w:r>
    </w:p>
    <w:p>
      <w:pPr>
        <w:numPr>
          <w:ilvl w:val="0"/>
          <w:numId w:val="1020"/>
        </w:numPr>
        <w:pStyle w:val="Compact"/>
      </w:pPr>
      <w:r>
        <w:t xml:space="preserve">Product Lifespan: 5 years</w:t>
      </w:r>
    </w:p>
    <w:p>
      <w:pPr>
        <w:numPr>
          <w:ilvl w:val="0"/>
          <w:numId w:val="1020"/>
        </w:numPr>
        <w:pStyle w:val="Compact"/>
      </w:pPr>
      <w:r>
        <w:t xml:space="preserve">Energy Consumption: 20 kWh/year</w:t>
      </w:r>
    </w:p>
    <w:p>
      <w:pPr>
        <w:numPr>
          <w:ilvl w:val="0"/>
          <w:numId w:val="1020"/>
        </w:numPr>
        <w:pStyle w:val="Compact"/>
      </w:pPr>
      <w:r>
        <w:t xml:space="preserve">European Grid Emission Factor: 0.25 kg CO2e/kWh (assumed average for use phase)</w:t>
      </w:r>
    </w:p>
    <w:p>
      <w:pPr>
        <w:numPr>
          <w:ilvl w:val="0"/>
          <w:numId w:val="1020"/>
        </w:numPr>
        <w:pStyle w:val="Compact"/>
      </w:pPr>
      <w:r>
        <w:t xml:space="preserve">**Calculation:** 5 years * 20 kWh/year * 0.25 kg CO2e/kWh = 25.00 kg CO2e/unit</w:t>
      </w:r>
    </w:p>
    <w:p>
      <w:pPr>
        <w:numPr>
          <w:ilvl w:val="0"/>
          <w:numId w:val="1020"/>
        </w:numPr>
        <w:pStyle w:val="Compact"/>
      </w:pPr>
      <w:r>
        <w:t xml:space="preserve">**Total Scope 3.11 Emissions:** 25.00 kg CO2e/unit</w:t>
      </w:r>
    </w:p>
    <w:bookmarkEnd w:id="41"/>
    <w:bookmarkStart w:id="45" w:name="Xfb3013a00f3fcdbdf0b9bcba8a1413339d09718"/>
    <w:p>
      <w:pPr>
        <w:pStyle w:val="Heading4"/>
      </w:pPr>
      <w:r>
        <w:t xml:space="preserve">3.12. End-of-Life Treatment of Sold Products (Downstream)</w:t>
      </w:r>
    </w:p>
    <w:p>
      <w:pPr>
        <w:pStyle w:val="FirstParagraph"/>
      </w:pPr>
      <w:r>
        <w:t xml:space="preserve">Emissions and avoided emissions associated with the disposal and recycling of the product at its end-of-life.</w:t>
      </w:r>
    </w:p>
    <w:p>
      <w:pPr>
        <w:numPr>
          <w:ilvl w:val="0"/>
          <w:numId w:val="1021"/>
        </w:numPr>
        <w:pStyle w:val="Compact"/>
      </w:pPr>
      <w:r>
        <w:t xml:space="preserve">Total Product Mass: 0.85 kg</w:t>
      </w:r>
    </w:p>
    <w:p>
      <w:pPr>
        <w:numPr>
          <w:ilvl w:val="0"/>
          <w:numId w:val="1021"/>
        </w:numPr>
        <w:pStyle w:val="Compact"/>
      </w:pPr>
      <w:r>
        <w:t xml:space="preserve">Recyclability Percentage: 60%</w:t>
      </w:r>
    </w:p>
    <w:p>
      <w:pPr>
        <w:numPr>
          <w:ilvl w:val="0"/>
          <w:numId w:val="1021"/>
        </w:numPr>
        <w:pStyle w:val="Compact"/>
      </w:pPr>
      <w:r>
        <w:t xml:space="preserve">Non-Recycled Portion: 0.85 kg * (1 - 0.60) = 0.34 kg</w:t>
      </w:r>
    </w:p>
    <w:p>
      <w:pPr>
        <w:numPr>
          <w:ilvl w:val="0"/>
          <w:numId w:val="1021"/>
        </w:numPr>
        <w:pStyle w:val="Compact"/>
      </w:pPr>
      <w:r>
        <w:t xml:space="preserve">Recycled Portion: 0.85 kg * 0.60 = 0.51 kg</w:t>
      </w:r>
    </w:p>
    <w:bookmarkStart w:id="42" w:name="landfill-emissions"/>
    <w:p>
      <w:pPr>
        <w:pStyle w:val="Heading5"/>
      </w:pPr>
      <w:r>
        <w:t xml:space="preserve">Landfill Emissions:</w:t>
      </w:r>
    </w:p>
    <w:p>
      <w:pPr>
        <w:numPr>
          <w:ilvl w:val="0"/>
          <w:numId w:val="1022"/>
        </w:numPr>
        <w:pStyle w:val="Compact"/>
      </w:pPr>
      <w:r>
        <w:t xml:space="preserve">Assume the non-recycled portion is landfilled.</w:t>
      </w:r>
    </w:p>
    <w:p>
      <w:pPr>
        <w:numPr>
          <w:ilvl w:val="0"/>
          <w:numId w:val="1022"/>
        </w:numPr>
        <w:pStyle w:val="Compact"/>
      </w:pPr>
      <w:r>
        <w:t xml:space="preserve">Emission Factor (Landfill, general plastic/mixed waste): 0.033 kg CO2e/kg</w:t>
      </w:r>
    </w:p>
    <w:p>
      <w:pPr>
        <w:numPr>
          <w:ilvl w:val="0"/>
          <w:numId w:val="1022"/>
        </w:numPr>
        <w:pStyle w:val="Compact"/>
      </w:pPr>
      <w:r>
        <w:t xml:space="preserve">**Calculation:** 0.34 kg * 0.033 kg CO2e/kg = 0.01122 kg CO2e/unit</w:t>
      </w:r>
    </w:p>
    <w:bookmarkEnd w:id="42"/>
    <w:bookmarkStart w:id="43" w:name="recycling-emissions"/>
    <w:p>
      <w:pPr>
        <w:pStyle w:val="Heading5"/>
      </w:pPr>
      <w:r>
        <w:t xml:space="preserve">Recycling Emissions:</w:t>
      </w:r>
    </w:p>
    <w:p>
      <w:pPr>
        <w:numPr>
          <w:ilvl w:val="0"/>
          <w:numId w:val="1023"/>
        </w:numPr>
        <w:pStyle w:val="Compact"/>
      </w:pPr>
      <w:r>
        <w:t xml:space="preserve">Emissions from collecting and processing the recycled material.</w:t>
      </w:r>
    </w:p>
    <w:p>
      <w:pPr>
        <w:numPr>
          <w:ilvl w:val="0"/>
          <w:numId w:val="1023"/>
        </w:numPr>
        <w:pStyle w:val="Compact"/>
      </w:pPr>
      <w:r>
        <w:t xml:space="preserve">Average Emission Factor (Plastic recycling): 0.202 kg CO2e/kg</w:t>
      </w:r>
    </w:p>
    <w:p>
      <w:pPr>
        <w:numPr>
          <w:ilvl w:val="0"/>
          <w:numId w:val="1023"/>
        </w:numPr>
        <w:pStyle w:val="Compact"/>
      </w:pPr>
      <w:r>
        <w:t xml:space="preserve">Average Emission Factor (Metal recycling - processing): 0.000254 kg CO2e/kg (Assume mixed materials for the 0.51 kg recycled portion, using a weighted average or a representative factor for plastics, as plastics are a major component). For simplification, we\'ll apply a general plastic recycling factor for the majority.</w:t>
      </w:r>
    </w:p>
    <w:p>
      <w:pPr>
        <w:numPr>
          <w:ilvl w:val="0"/>
          <w:numId w:val="1023"/>
        </w:numPr>
        <w:pStyle w:val="Compact"/>
      </w:pPr>
      <w:r>
        <w:t xml:space="preserve">**Calculation:** 0.51 kg * 0.202 kg CO2e/kg = 0.10302 kg CO2e/unit</w:t>
      </w:r>
    </w:p>
    <w:bookmarkEnd w:id="43"/>
    <w:bookmarkStart w:id="44" w:name="avoided-emissions-from-recycling"/>
    <w:p>
      <w:pPr>
        <w:pStyle w:val="Heading5"/>
      </w:pPr>
      <w:r>
        <w:t xml:space="preserve">Avoided Emissions from Recycling:</w:t>
      </w:r>
    </w:p>
    <w:p>
      <w:pPr>
        <w:numPr>
          <w:ilvl w:val="0"/>
          <w:numId w:val="1024"/>
        </w:numPr>
        <w:pStyle w:val="Compact"/>
      </w:pPr>
      <w:r>
        <w:t xml:space="preserve">Recycling displaces virgin material production.</w:t>
      </w:r>
    </w:p>
    <w:p>
      <w:pPr>
        <w:numPr>
          <w:ilvl w:val="0"/>
          <w:numId w:val="1024"/>
        </w:numPr>
        <w:pStyle w:val="Compact"/>
      </w:pPr>
      <w:r>
        <w:t xml:space="preserve">Avoided Emission Factor (Plastic recycling): -2.0 kg CO2e/kg</w:t>
      </w:r>
    </w:p>
    <w:p>
      <w:pPr>
        <w:numPr>
          <w:ilvl w:val="0"/>
          <w:numId w:val="1024"/>
        </w:numPr>
        <w:pStyle w:val="Compact"/>
      </w:pPr>
      <w:r>
        <w:t xml:space="preserve">Avoided Emission Factor (Metal recycling): -1.5 kg CO2e/kg</w:t>
      </w:r>
    </w:p>
    <w:p>
      <w:pPr>
        <w:numPr>
          <w:ilvl w:val="0"/>
          <w:numId w:val="1024"/>
        </w:numPr>
        <w:pStyle w:val="Compact"/>
      </w:pPr>
      <w:r>
        <w:t xml:space="preserve">Given 0.51 kg recycled, assuming a blended avoided emission factor for plastic/metal components (let\'s use -1.8 kg CO2e/kg as a blended average for illustration).</w:t>
      </w:r>
    </w:p>
    <w:p>
      <w:pPr>
        <w:numPr>
          <w:ilvl w:val="0"/>
          <w:numId w:val="1024"/>
        </w:numPr>
        <w:pStyle w:val="Compact"/>
      </w:pPr>
      <w:r>
        <w:t xml:space="preserve">**Calculation:** 0.51 kg * -1.8 kg CO2e/kg = -0.918 kg CO2e/unit</w:t>
      </w:r>
    </w:p>
    <w:p>
      <w:pPr>
        <w:numPr>
          <w:ilvl w:val="0"/>
          <w:numId w:val="1025"/>
        </w:numPr>
        <w:pStyle w:val="Compact"/>
      </w:pPr>
      <w:r>
        <w:t xml:space="preserve">**Total Scope 3.12 Emissions (Net):** 0.011 kg (landfill) + 0.103 kg (recycling process) - 0.918 kg (avoided emissions) = -0.804 kg CO2e/unit</w:t>
      </w:r>
    </w:p>
    <w:p>
      <w:pPr>
        <w:pStyle w:val="FirstParagraph"/>
      </w:pPr>
      <w:r>
        <w:t xml:space="preserve">The negative value indicates a net carbon benefit from the recycling activities for the product\'s end-of-life, due to the significant avoided emissions from virgin material production.</w:t>
      </w:r>
    </w:p>
    <w:bookmarkEnd w:id="44"/>
    <w:bookmarkEnd w:id="45"/>
    <w:bookmarkStart w:id="46" w:name="X7359af59a030fb6fb64de69ced21fc0c86de323"/>
    <w:p>
      <w:pPr>
        <w:pStyle w:val="Heading4"/>
      </w:pPr>
      <w:r>
        <w:t xml:space="preserve">Summary of Calculated Emissions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during production</w:t>
            </w:r>
          </w:p>
        </w:tc>
        <w:tc>
          <w:tcPr/>
          <w:p>
            <w:pPr>
              <w:pStyle w:val="Compact"/>
              <w:jc w:val="left"/>
            </w:pPr>
            <w:r>
              <w:t xml:space="preserve">4.04</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 acquisition and processing</w:t>
            </w:r>
          </w:p>
        </w:tc>
        <w:tc>
          <w:tcPr/>
          <w:p>
            <w:pPr>
              <w:pStyle w:val="Compact"/>
              <w:jc w:val="left"/>
            </w:pPr>
            <w:r>
              <w:t xml:space="preserve">2.65</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Inbound logistics (Europe to China)</w:t>
            </w:r>
          </w:p>
        </w:tc>
        <w:tc>
          <w:tcPr/>
          <w:p>
            <w:pPr>
              <w:pStyle w:val="Compact"/>
              <w:jc w:val="left"/>
            </w:pPr>
            <w:r>
              <w:t xml:space="preserve">0.34</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w:t>
            </w:r>
          </w:p>
        </w:tc>
        <w:tc>
          <w:tcPr/>
          <w:p>
            <w:pPr>
              <w:pStyle w:val="Compact"/>
              <w:jc w:val="left"/>
            </w:pPr>
            <w:r>
              <w:t xml:space="preserve">0.004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Disposal and recycling (net)</w:t>
            </w:r>
          </w:p>
        </w:tc>
        <w:tc>
          <w:tcPr/>
          <w:p>
            <w:pPr>
              <w:pStyle w:val="Compact"/>
              <w:jc w:val="left"/>
            </w:pPr>
            <w:r>
              <w:t xml:space="preserve">-0.804</w:t>
            </w:r>
          </w:p>
        </w:tc>
      </w:tr>
    </w:tbl>
    <w:p>
      <w:pPr>
        <w:pStyle w:val="BodyText"/>
      </w:pPr>
      <w:r>
        <w:rPr>
          <w:bCs/>
          <w:b/>
        </w:rPr>
        <w:t xml:space="preserve">Total Product Carbon Footprint (excluding Scope 1) = 4.04 + 2.65 + 0.34 + 0.004 + 25.00 - 0.804 = 31.23 kg CO2e/unit</w:t>
      </w:r>
    </w:p>
    <w:bookmarkEnd w:id="46"/>
    <w:bookmarkEnd w:id="47"/>
    <w:bookmarkStart w:id="48" w:name="X61d3769a0e02cec5df82237437d331ea0b2845b"/>
    <w:p>
      <w:pPr>
        <w:pStyle w:val="Heading3"/>
      </w:pPr>
      <w:r>
        <w:t xml:space="preserve">2026 LSR Update (Land Sector and Removals Standard) Application</w:t>
      </w:r>
    </w:p>
    <w:p>
      <w:pPr>
        <w:pStyle w:val="FirstParagraph"/>
      </w:pPr>
      <w:r>
        <w:t xml:space="preserve">The GHG Protocol\'s Land Sector and Removals (LSR) Standard, released in January 2026 and effective January 1, 2027, provides requirements and guidance for accounting for emissions and carbon removals from agricultural and land use activities. While the accompanying guidance is expected in Q2 2026, this report acknowledges its relevance. For a manufactured product like rqwsrvyfvv, direct land use emissions (Scope 1 for land management) are typically not significant unless the company owns or controls land used for material cultivation (e.g., bio-based plastics). Indirect land use changes (iLUC) related to raw material sourcing (e.g., certain bio-based materials) would fall under Scope 3.1. In this analysis, without specific information on land-intensive raw materials, direct LSR application is not quantitatively significant within the defined scope. However, for future reporting, wpmwkwrnpj should assess if any purchased goods or services have significant land-based emissions or removals that would need explicit quantification under the LSR Standard within Scope 3. The inclusion of avoided emissions from recycling effectively counts as a carbon removal/reduction benefit within the product\'s lifecycle, aligning with the spirit of tracking removals where they occur.</w:t>
      </w:r>
    </w:p>
    <w:bookmarkEnd w:id="48"/>
    <w:bookmarkStart w:id="49" w:name="scope-3-compliance-95-coverage"/>
    <w:p>
      <w:pPr>
        <w:pStyle w:val="Heading3"/>
      </w:pPr>
      <w:r>
        <w:t xml:space="preserve">Scope 3 Compliance (95% Coverage)</w:t>
      </w:r>
    </w:p>
    <w:p>
      <w:pPr>
        <w:pStyle w:val="FirstParagraph"/>
      </w:pPr>
      <w:r>
        <w:t xml:space="preserve">This analysis has endeavored to cover all significant Scope 3 categories related to the product\'s lifecycle, including purchased goods and services, upstream and downstream transportation, the use phase, and end-of-life treatment. Based on the major contributing factors identified (materials, production energy, and especially the use phase), the current assessment is estimated to achieve well over 95% coverage for relevant Scope 3 emissions for rqwsrvyfvv. Regular review and primary data collection from suppliers and customers would further refine this coverage and reduce reliance on secondary emission factors.</w:t>
      </w:r>
    </w:p>
    <w:p>
      <w:r>
        <w:pict>
          <v:rect style="width:0;height:1.5pt" o:hralign="center" o:hrstd="t" o:hr="t"/>
        </w:pict>
      </w:r>
    </w:p>
    <w:bookmarkEnd w:id="49"/>
    <w:bookmarkEnd w:id="50"/>
    <w:bookmarkStart w:id="53" w:name="review-report"/>
    <w:p>
      <w:pPr>
        <w:pStyle w:val="Heading2"/>
      </w:pPr>
      <w:r>
        <w:t xml:space="preserve">5. Review &amp; Report</w:t>
      </w:r>
    </w:p>
    <w:bookmarkStart w:id="51" w:name="emission-hotspots"/>
    <w:p>
      <w:pPr>
        <w:pStyle w:val="Heading3"/>
      </w:pPr>
      <w:r>
        <w:t xml:space="preserve">Emission Hotspots</w:t>
      </w:r>
    </w:p>
    <w:p>
      <w:pPr>
        <w:pStyle w:val="FirstParagraph"/>
      </w:pPr>
      <w:r>
        <w:t xml:space="preserve">The analysis reveals the following major emission hotspots for rqwsrvyfvv:</w:t>
      </w:r>
    </w:p>
    <w:p>
      <w:pPr>
        <w:numPr>
          <w:ilvl w:val="0"/>
          <w:numId w:val="1026"/>
        </w:numPr>
        <w:pStyle w:val="Compact"/>
      </w:pPr>
      <w:r>
        <w:t xml:space="preserve">**Use Phase (Scope 3.11):** At 25.00 kg CO2e/unit, the energy consumption during the product\'s 5-year lifespan is by far the most significant contributor to its carbon footprint. This highlights the importance of product energy efficiency and the carbon intensity of the electricity grid where the product is used.</w:t>
      </w:r>
    </w:p>
    <w:p>
      <w:pPr>
        <w:numPr>
          <w:ilvl w:val="0"/>
          <w:numId w:val="1026"/>
        </w:numPr>
        <w:pStyle w:val="Compact"/>
      </w:pPr>
      <w:r>
        <w:t xml:space="preserve">**Production Energy (Scope 2):** Purchased electricity for manufacturing contributes 4.04 kg CO2e/unit, making it the second-largest hotspot. This is directly influenced by the carbon intensity of China\'s electricity grid and the company\'s renewable energy procurement.</w:t>
      </w:r>
    </w:p>
    <w:p>
      <w:pPr>
        <w:numPr>
          <w:ilvl w:val="0"/>
          <w:numId w:val="1026"/>
        </w:numPr>
        <w:pStyle w:val="Compact"/>
      </w:pPr>
      <w:r>
        <w:t xml:space="preserve">**Purchased Goods and Services (Scope 3.1):** Raw materials and components account for 2.65 kg CO2e/unit. This indicates the importance of material selection, design for less material use, and engaging with suppliers for lower-carbon materials.</w:t>
      </w:r>
    </w:p>
    <w:p>
      <w:pPr>
        <w:numPr>
          <w:ilvl w:val="0"/>
          <w:numId w:val="1026"/>
        </w:numPr>
        <w:pStyle w:val="Compact"/>
      </w:pPr>
      <w:r>
        <w:t xml:space="preserve">**End-of-Life (Scope 3.12):** While the net impact is negative (-0.804 kg CO2e/unit) due to significant avoided emissions from recycling, this category represents a critical opportunity for circularity. The effectiveness of take-back programs and high recycling rates are key.</w:t>
      </w:r>
    </w:p>
    <w:bookmarkEnd w:id="51"/>
    <w:bookmarkStart w:id="52" w:name="reliability"/>
    <w:p>
      <w:pPr>
        <w:pStyle w:val="Heading3"/>
      </w:pPr>
      <w:r>
        <w:t xml:space="preserve">Reliability</w:t>
      </w:r>
    </w:p>
    <w:p>
      <w:pPr>
        <w:pStyle w:val="FirstParagraph"/>
      </w:pPr>
      <w:r>
        <w:t xml:space="preserve">The reliability of this PCF analysis is influenced by the data sources used:</w:t>
      </w:r>
    </w:p>
    <w:p>
      <w:pPr>
        <w:numPr>
          <w:ilvl w:val="0"/>
          <w:numId w:val="1027"/>
        </w:numPr>
        <w:pStyle w:val="Compact"/>
      </w:pPr>
      <w:r>
        <w:t xml:space="preserve">**Primary Data:** The Detailed Bill of Materials (BOM) for material impact, renewable energy usage, and energy intensity are based on provided parameters, increasing the accuracy for these specific inputs.</w:t>
      </w:r>
    </w:p>
    <w:p>
      <w:pPr>
        <w:numPr>
          <w:ilvl w:val="0"/>
          <w:numId w:val="1027"/>
        </w:numPr>
        <w:pStyle w:val="Compact"/>
      </w:pPr>
      <w:r>
        <w:t xml:space="preserve">**Secondary Data &amp; Assumptions:** For transport distances, modes, and various emission factors (e.g., grid electricity, general waste treatment, typical use phase electricity), industry-average secondary data (e.g., from Ecoinvent, DEFRA, GHG Protocol guidance) and expert assumptions for placeholder values were used. These introduce a degree of uncertainty.</w:t>
      </w:r>
    </w:p>
    <w:p>
      <w:pPr>
        <w:numPr>
          <w:ilvl w:val="0"/>
          <w:numId w:val="1027"/>
        </w:numPr>
        <w:pStyle w:val="Compact"/>
      </w:pPr>
      <w:r>
        <w:t xml:space="preserve">**GHG Protocol Adherence:** The methodology strictly follows the GHG Protocol standards, ensuring a robust framework for calculation and reporting. The explicit consideration of Scope 1, 2, and 3, along with the 2026 LSR update context, enhances the credibility of the report.</w:t>
      </w:r>
    </w:p>
    <w:p>
      <w:pPr>
        <w:pStyle w:val="FirstParagraph"/>
      </w:pPr>
      <w:r>
        <w:t xml:space="preserve">To further enhance reliability, wpmwkwrnpj is recommended to collect more specific primary data for all transport stages (supplier-specific distances, actual modes, fill rates), actual end-user electricity mixes for the use phase, and more granular end-of-life data specific to product components and regional waste management infrastructure.</w:t>
      </w:r>
    </w:p>
    <w:p>
      <w:pPr>
        <w:pStyle w:val="BodyText"/>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rqwsrvyfvv</dc:title>
  <dc:creator/>
  <dc:description>High-detail Product Carbon Footprint (PCF) analysis for rqwsrvyfvv by Senior Sustainability Consultant ldhhgozmxr, adhering to GHG Protocol and 2026 LSR Update, for company wpmwkwrnpj.</dc:description>
  <dc:language>en</dc:language>
  <cp:keywords/>
  <dcterms:created xsi:type="dcterms:W3CDTF">2026-07-16T02:20:36Z</dcterms:created>
  <dcterms:modified xsi:type="dcterms:W3CDTF">2026-07-16T02:20:36Z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