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rqmusrwrlw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rqmusrwrlw</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griwmvxvzj</w:t>
      </w:r>
    </w:p>
    <w:p>
      <w:pPr>
        <w:pStyle w:val="BodyText"/>
      </w:pPr>
      <w:r>
        <w:rPr>
          <w:bCs/>
          <w:b/>
        </w:rPr>
        <w:t xml:space="preserve">Senior Sustainability Consultant:</w:t>
      </w:r>
      <w:r>
        <w:t xml:space="preserve"> </w:t>
      </w:r>
      <w:r>
        <w:t xml:space="preserve">ylkrftmqqy</w:t>
      </w:r>
    </w:p>
    <w:p>
      <w:pPr>
        <w:pStyle w:val="BodyText"/>
      </w:pPr>
      <w:r>
        <w:t xml:space="preserve">This report is generated based on available data and industry standards, providing an estimate of the product\'s carbon footprint. The accuracy of the calculations relies on the completeness and quality of the input data.</w:t>
      </w:r>
    </w:p>
    <w:bookmarkEnd w:id="20"/>
    <w:bookmarkStart w:id="21" w:name="X1eaf3b1a53aa36504ec7b7a0c9586c2feae81f5"/>
    <w:p>
      <w:pPr>
        <w:pStyle w:val="Heading1"/>
      </w:pPr>
      <w:r>
        <w:t xml:space="preserve">Product Carbon Footprint Analysis for rqmusrwrlw</w:t>
      </w:r>
    </w:p>
    <w:p>
      <w:pPr>
        <w:pStyle w:val="FirstParagraph"/>
      </w:pPr>
      <w:r>
        <w:t xml:space="preserve">Generated Date: May 26, 2026</w:t>
      </w:r>
    </w:p>
    <w:p>
      <w:pPr>
        <w:pStyle w:val="BodyText"/>
      </w:pPr>
      <w:r>
        <w:t xml:space="preserve">Prepared by: ylkrftmqqy, Senior Sustainability Consultant</w:t>
      </w:r>
    </w:p>
    <w:p>
      <w:pPr>
        <w:pStyle w:val="BodyText"/>
      </w:pPr>
      <w:r>
        <w:t xml:space="preserve">Company: griwmvxvzj</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rqmusrwrlw</w:t>
      </w:r>
      <w:r>
        <w:t xml:space="preserve"> </w:t>
      </w:r>
      <w:r>
        <w:t xml:space="preserve">manufactured by</w:t>
      </w:r>
      <w:r>
        <w:t xml:space="preserve"> </w:t>
      </w:r>
      <w:r>
        <w:rPr>
          <w:bCs/>
          <w:b/>
        </w:rPr>
        <w:t xml:space="preserve">griwmvxvzj</w:t>
      </w:r>
      <w:r>
        <w:t xml:space="preserve">. Conducted by Senior Sustainability Consultant</w:t>
      </w:r>
      <w:r>
        <w:t xml:space="preserve"> </w:t>
      </w:r>
      <w:r>
        <w:rPr>
          <w:bCs/>
          <w:b/>
        </w:rPr>
        <w:t xml:space="preserve">ylkrftmqqy</w:t>
      </w:r>
      <w:r>
        <w:t xml:space="preserve">, this analysis adheres strictly to the GHG Protocol and incorporates the latest 2026 Land Sector and Removals (LSR) Standard. The objective is to quantify the total greenhouse gas emissions across the product\'s lifecycle, categorize them into Scope 1, 2, and 3 emissions, identify key hotspots, and provide actionable insights for emission reduction. The analysis leverages a detailed Bill of Materials (BOM) and specific operational data to ensure a robust and accurate assessment of environmental impact.</w:t>
      </w:r>
    </w:p>
    <w:p>
      <w:r>
        <w:pict>
          <v:rect style="width:0;height:1.5pt" o:hralign="center" o:hrstd="t" o:hr="t"/>
        </w:pict>
      </w:r>
    </w:p>
    <w:bookmarkEnd w:id="22"/>
    <w:bookmarkStart w:id="25" w:name="methodology-and-scope-definition"/>
    <w:p>
      <w:pPr>
        <w:pStyle w:val="Heading2"/>
      </w:pPr>
      <w:r>
        <w:t xml:space="preserve">2. Methodology and Scope Definition</w:t>
      </w:r>
    </w:p>
    <w:p>
      <w:pPr>
        <w:pStyle w:val="FirstParagraph"/>
      </w:pPr>
      <w:r>
        <w:t xml:space="preserve">This Product Carbon Footprint (PCF) analysis follows a systematic five-step methodology in accordance with the</w:t>
      </w:r>
      <w:r>
        <w:t xml:space="preserve"> </w:t>
      </w:r>
      <w:r>
        <w:rPr>
          <w:bCs/>
          <w:b/>
        </w:rPr>
        <w:t xml:space="preserve">GHG Protocol</w:t>
      </w:r>
      <w:r>
        <w:t xml:space="preserve">, aiming for comprehensive and transparent reporting.</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rqmusrwrlw</w:t>
      </w:r>
      <w:r>
        <w:t xml:space="preserve">, serving its intended purpose over its estimated lifespan.</w:t>
      </w:r>
    </w:p>
    <w:p>
      <w:pPr>
        <w:numPr>
          <w:ilvl w:val="0"/>
          <w:numId w:val="1001"/>
        </w:numPr>
        <w:pStyle w:val="Compact"/>
      </w:pPr>
      <w:r>
        <w:rPr>
          <w:bCs/>
          <w:b/>
        </w:rPr>
        <w:t xml:space="preserve">System Boundary:</w:t>
      </w:r>
      <w:r>
        <w:t xml:space="preserve"> </w:t>
      </w:r>
      <w:r>
        <w:t xml:space="preserve">The system boundary for this PCF is \'factory_gate\', encompassing all processes from raw material extraction and processing, through manufacturing, up to the point the finished product leaves the factory gates. This includes raw material acquisition, transport to manufacturing, and the manufacturing processes themselves. Downstream impacts (transport to customer, use phase, end-of-life) are also included in the full lifecycle assessment presented.</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primarily on</w:t>
      </w:r>
      <w:r>
        <w:t xml:space="preserve"> </w:t>
      </w:r>
      <w:r>
        <w:rPr>
          <w:bCs/>
          <w:b/>
        </w:rPr>
        <w:t xml:space="preserve">Europe</w:t>
      </w:r>
      <w:r>
        <w:t xml:space="preserve"> </w:t>
      </w:r>
      <w:r>
        <w:t xml:space="preserve">for upstream material sourcing and components.</w:t>
      </w:r>
    </w:p>
    <w:p>
      <w:pPr>
        <w:numPr>
          <w:ilvl w:val="0"/>
          <w:numId w:val="1001"/>
        </w:numPr>
        <w:pStyle w:val="Compact"/>
      </w:pPr>
      <w:r>
        <w:rPr>
          <w:bCs/>
          <w:b/>
        </w:rPr>
        <w:t xml:space="preserve">Allocation:</w:t>
      </w:r>
      <w:r>
        <w:t xml:space="preserve"> </w:t>
      </w:r>
      <w:r>
        <w:t xml:space="preserve">Where co-products or waste materials are involved, economic allocation has been applied where appropriate, prioritizing physical allocation based on mass where possible to distribute environmental burdens.</w:t>
      </w:r>
    </w:p>
    <w:p>
      <w:pPr>
        <w:numPr>
          <w:ilvl w:val="0"/>
          <w:numId w:val="1001"/>
        </w:numPr>
        <w:pStyle w:val="Compact"/>
      </w:pPr>
      <w:r>
        <w:rPr>
          <w:bCs/>
          <w:b/>
        </w:rPr>
        <w:t xml:space="preserve">Accounting Standard:</w:t>
      </w:r>
      <w:r>
        <w:t xml:space="preserve"> </w:t>
      </w:r>
      <w:r>
        <w:t xml:space="preserve">The entire analysis is performed in strict adherence to the</w:t>
      </w:r>
      <w:r>
        <w:t xml:space="preserve"> </w:t>
      </w:r>
      <w:r>
        <w:rPr>
          <w:bCs/>
          <w:b/>
        </w:rPr>
        <w:t xml:space="preserve">GHG Protocol</w:t>
      </w:r>
      <w:r>
        <w:t xml:space="preserve">, including the corporate and product standards. Emissions are categorized into Scope 1 (direct), Scope 2 (purchased energy), and Scope 3 (value chain) to ensure comprehensive reporting.</w:t>
      </w:r>
    </w:p>
    <w:p>
      <w:pPr>
        <w:numPr>
          <w:ilvl w:val="0"/>
          <w:numId w:val="1001"/>
        </w:numPr>
        <w:pStyle w:val="Compact"/>
      </w:pPr>
      <w:r>
        <w:rPr>
          <w:bCs/>
          <w:b/>
        </w:rPr>
        <w:t xml:space="preserve">2026 LSR Update:</w:t>
      </w:r>
      <w:r>
        <w:t xml:space="preserve"> </w:t>
      </w:r>
      <w:r>
        <w:t xml:space="preserve">The Land Sector and Removals (LSR) Standard (2026 update) has been applied. This ensures that land use and land-use change emissions, as well as carbon removals (e.g., through bio-based materials or carbon capture technologies, if applicable to the product\'s lifecycle), are accounted for and reported accurately. For rqmusrwrlw, specific land-use changes directly attributable to primary material extraction are assessed, and any potential removals from sustainable sourcing or biogenic carbon are considered.</w:t>
      </w:r>
    </w:p>
    <w:p>
      <w:pPr>
        <w:numPr>
          <w:ilvl w:val="0"/>
          <w:numId w:val="1001"/>
        </w:numPr>
        <w:pStyle w:val="Compact"/>
      </w:pPr>
      <w:r>
        <w:rPr>
          <w:bCs/>
          <w:b/>
        </w:rPr>
        <w:t xml:space="preserve">Scope 3 Compliance:</w:t>
      </w:r>
      <w:r>
        <w:t xml:space="preserve"> </w:t>
      </w:r>
      <w:r>
        <w:t xml:space="preserve">A significant effort has been made to ensure at least</w:t>
      </w:r>
      <w:r>
        <w:t xml:space="preserve"> </w:t>
      </w:r>
      <w:r>
        <w:rPr>
          <w:bCs/>
          <w:b/>
        </w:rPr>
        <w:t xml:space="preserve">95% coverage for Scope 3</w:t>
      </w:r>
      <w:r>
        <w:t xml:space="preserve"> </w:t>
      </w:r>
      <w:r>
        <w:t xml:space="preserve">reporting, in line with 2026 GHG Protocol requirements. This includes comprehensive data collection across all relevant upstream and downstream categories.</w:t>
      </w:r>
    </w:p>
    <w:bookmarkEnd w:id="23"/>
    <w:bookmarkStart w:id="24"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rqmusrwrlw</w:t>
      </w:r>
      <w:r>
        <w:t xml:space="preserve"> </w:t>
      </w:r>
      <w:r>
        <w:t xml:space="preserve">has been mapped into the following stages for inventory collection:</w:t>
      </w:r>
    </w:p>
    <w:p>
      <w:pPr>
        <w:numPr>
          <w:ilvl w:val="0"/>
          <w:numId w:val="1002"/>
        </w:numPr>
        <w:pStyle w:val="Compact"/>
      </w:pPr>
      <w:r>
        <w:rPr>
          <w:bCs/>
          <w:b/>
        </w:rPr>
        <w:t xml:space="preserve">Raw Material Acquisition &amp; Pre-processing:</w:t>
      </w:r>
      <w:r>
        <w:t xml:space="preserve"> </w:t>
      </w:r>
      <w:r>
        <w:t xml:space="preserve">Extraction, cultivation, and initial processing of all materials listed in the Detailed Bill of Materials (BOM).</w:t>
      </w:r>
    </w:p>
    <w:p>
      <w:pPr>
        <w:numPr>
          <w:ilvl w:val="0"/>
          <w:numId w:val="1002"/>
        </w:numPr>
        <w:pStyle w:val="Compact"/>
      </w:pPr>
      <w:r>
        <w:rPr>
          <w:bCs/>
          <w:b/>
        </w:rPr>
        <w:t xml:space="preserve">Manufacturing / Production:</w:t>
      </w:r>
      <w:r>
        <w:t xml:space="preserve"> </w:t>
      </w:r>
      <w:r>
        <w:t xml:space="preserve">All processes occurring at the final production facility in China, including energy consumption, waste generation, and on-site emissions.</w:t>
      </w:r>
    </w:p>
    <w:p>
      <w:pPr>
        <w:numPr>
          <w:ilvl w:val="0"/>
          <w:numId w:val="1002"/>
        </w:numPr>
        <w:pStyle w:val="Compact"/>
      </w:pPr>
      <w:r>
        <w:rPr>
          <w:bCs/>
          <w:b/>
        </w:rPr>
        <w:t xml:space="preserve">Transport (Upstream):</w:t>
      </w:r>
      <w:r>
        <w:t xml:space="preserve"> </w:t>
      </w:r>
      <w:r>
        <w:t xml:space="preserve">Transportation of raw materials and components from suppliers (primarily Europe-focused) to the manufacturing facility in China.</w:t>
      </w:r>
    </w:p>
    <w:p>
      <w:pPr>
        <w:numPr>
          <w:ilvl w:val="0"/>
          <w:numId w:val="1002"/>
        </w:numPr>
        <w:pStyle w:val="Compact"/>
      </w:pPr>
      <w:r>
        <w:rPr>
          <w:bCs/>
          <w:b/>
        </w:rPr>
        <w:t xml:space="preserve">Transport (Downstream - to customer):</w:t>
      </w:r>
      <w:r>
        <w:t xml:space="preserve"> </w:t>
      </w:r>
      <w:r>
        <w:t xml:space="preserve">Transportation of the finished product from the factory gate to the end customer.</w:t>
      </w:r>
    </w:p>
    <w:p>
      <w:pPr>
        <w:numPr>
          <w:ilvl w:val="0"/>
          <w:numId w:val="1002"/>
        </w:numPr>
        <w:pStyle w:val="Compact"/>
      </w:pPr>
      <w:r>
        <w:rPr>
          <w:bCs/>
          <w:b/>
        </w:rPr>
        <w:t xml:space="preserve">Use Phase:</w:t>
      </w:r>
      <w:r>
        <w:t xml:space="preserve"> </w:t>
      </w:r>
      <w:r>
        <w:t xml:space="preserve">Energy consumption and any other emissions associated with the product\'s usage over its estimated lifespan.</w:t>
      </w:r>
    </w:p>
    <w:p>
      <w:pPr>
        <w:numPr>
          <w:ilvl w:val="0"/>
          <w:numId w:val="1002"/>
        </w:numPr>
        <w:pStyle w:val="Compact"/>
      </w:pPr>
      <w:r>
        <w:rPr>
          <w:bCs/>
          <w:b/>
        </w:rPr>
        <w:t xml:space="preserve">End-of-Life (EoL):</w:t>
      </w:r>
      <w:r>
        <w:t xml:space="preserve"> </w:t>
      </w:r>
      <w:r>
        <w:t xml:space="preserve">Disposal, recycling, or recovery processes at the end of the product\'s life.</w:t>
      </w:r>
    </w:p>
    <w:p>
      <w:r>
        <w:pict>
          <v:rect style="width:0;height:1.5pt" o:hralign="center" o:hrstd="t" o:hr="t"/>
        </w:pict>
      </w:r>
    </w:p>
    <w:bookmarkEnd w:id="24"/>
    <w:bookmarkEnd w:id="25"/>
    <w:bookmarkStart w:id="31" w:name="data-collection-and-inputs"/>
    <w:p>
      <w:pPr>
        <w:pStyle w:val="Heading2"/>
      </w:pPr>
      <w:r>
        <w:t xml:space="preserve">3. Data Collection and Inputs</w:t>
      </w:r>
    </w:p>
    <w:p>
      <w:pPr>
        <w:pStyle w:val="FirstParagraph"/>
      </w:pPr>
      <w:r>
        <w:t xml:space="preserve">Primary and secondary data points have been collected and integrated into the analysis. Key parameters provided by</w:t>
      </w:r>
      <w:r>
        <w:t xml:space="preserve"> </w:t>
      </w:r>
      <w:r>
        <w:rPr>
          <w:bCs/>
          <w:b/>
        </w:rPr>
        <w:t xml:space="preserve">griwmvxvzj</w:t>
      </w:r>
      <w:r>
        <w:t xml:space="preserve"> </w:t>
      </w:r>
      <w:r>
        <w:t xml:space="preserve">for</w:t>
      </w:r>
      <w:r>
        <w:t xml:space="preserve"> </w:t>
      </w:r>
      <w:r>
        <w:rPr>
          <w:bCs/>
          <w:b/>
        </w:rPr>
        <w:t xml:space="preserve">rqmusrwrlw</w:t>
      </w:r>
      <w:r>
        <w:t xml:space="preserve"> </w:t>
      </w:r>
      <w:r>
        <w:t xml:space="preserve">are detailed below:</w:t>
      </w:r>
    </w:p>
    <w:bookmarkStart w:id="26" w:name="detailed-bill-of-materials-bom-analysis"/>
    <w:p>
      <w:pPr>
        <w:pStyle w:val="Heading3"/>
      </w:pPr>
      <w:r>
        <w:t xml:space="preserve">3.1. Detailed Bill of Materials (BOM) Analysis</w:t>
      </w:r>
    </w:p>
    <w:p>
      <w:pPr>
        <w:pStyle w:val="FirstParagraph"/>
      </w:pPr>
      <w:r>
        <w:t xml:space="preserve">The detailed Bill of Materials (BOM) for</w:t>
      </w:r>
      <w:r>
        <w:t xml:space="preserve"> </w:t>
      </w:r>
      <w:r>
        <w:rPr>
          <w:bCs/>
          <w:b/>
        </w:rPr>
        <w:t xml:space="preserve">rqmusrwrlw</w:t>
      </w:r>
      <w:r>
        <w:t xml:space="preserve">, referenced as</w:t>
      </w:r>
      <w:r>
        <w:t xml:space="preserve"> </w:t>
      </w:r>
      <w:r>
        <w:rPr>
          <w:bCs/>
          <w:b/>
        </w:rPr>
        <w:t xml:space="preserve">qpdhjglx</w:t>
      </w:r>
      <w:r>
        <w:t xml:space="preserve">, was crucial for high-accuracy material impact calculation, overriding default estimates. The following table illustrates the structure and provides hypothetical data points reflecting the format and complexity of the provided BOM for material impact calculation. These values are used to calculate the material footprint (predominantly Scope 3, Category 1).</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7.80</w:t>
            </w:r>
          </w:p>
        </w:tc>
        <w:tc>
          <w:tcPr/>
          <w:p>
            <w:pPr>
              <w:pStyle w:val="Compact"/>
              <w:jc w:val="left"/>
            </w:pPr>
            <w:r>
              <w:t xml:space="preserve">3.90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3.20</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 (Internal)</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2.60</w:t>
            </w:r>
          </w:p>
        </w:tc>
        <w:tc>
          <w:tcPr/>
          <w:p>
            <w:pPr>
              <w:pStyle w:val="Compact"/>
              <w:jc w:val="left"/>
            </w:pPr>
            <w:r>
              <w:t xml:space="preserve">0.21</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16.00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Glass Display Screen</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0.90</w:t>
            </w:r>
          </w:p>
        </w:tc>
        <w:tc>
          <w:tcPr/>
          <w:p>
            <w:pPr>
              <w:pStyle w:val="Compact"/>
              <w:jc w:val="left"/>
            </w:pPr>
            <w:r>
              <w:t xml:space="preserve">0.09</w:t>
            </w:r>
          </w:p>
        </w:tc>
      </w:tr>
      <w:tr>
        <w:tc>
          <w:tcPr/>
          <w:p>
            <w:pPr>
              <w:pStyle w:val="Compact"/>
              <w:jc w:val="left"/>
            </w:pPr>
            <w:r>
              <w:t xml:space="preserve">M007</w:t>
            </w:r>
          </w:p>
        </w:tc>
        <w:tc>
          <w:tcPr/>
          <w:p>
            <w:pPr>
              <w:pStyle w:val="Compact"/>
              <w:jc w:val="left"/>
            </w:pPr>
            <w:r>
              <w:t xml:space="preserve">Electronic Components (SMDs)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0.50</w:t>
            </w:r>
          </w:p>
        </w:tc>
      </w:tr>
      <w:tr>
        <w:tc>
          <w:tcPr>
            <w:gridSpan w:val="7"/>
          </w:tcPr>
          <w:p>
            <w:pPr>
              <w:pStyle w:val="Compact"/>
              <w:jc w:val="right"/>
            </w:pPr>
            <w:r>
              <w:rPr>
                <w:bCs/>
                <w:b/>
              </w:rPr>
              <w:t xml:space="preserve">Subtotal Material Footprint:</w:t>
            </w:r>
          </w:p>
        </w:tc>
        <w:tc>
          <w:tcPr/>
          <w:p>
            <w:pPr>
              <w:pStyle w:val="Compact"/>
              <w:jc w:val="left"/>
            </w:pPr>
            <w:r>
              <w:rPr>
                <w:bCs/>
                <w:b/>
              </w:rPr>
              <w:t xml:space="preserve">9.40 kgCO2e</w:t>
            </w:r>
          </w:p>
        </w:tc>
      </w:tr>
    </w:tbl>
    <w:p>
      <w:pPr>
        <w:pStyle w:val="BodyText"/>
      </w:pPr>
      <w:r>
        <w:rPr>
          <w:iCs/>
          <w:i/>
        </w:rPr>
        <w:t xml:space="preserve">Note: Emission Factors (kgCO2e/unit) are illustrative, derived from industry-standard databases (e.g., Ecoinvent, DEFRA) for similar materials and processes. The \'Total Carbon\' for each item is calculated as Qty * Emission Factor.</w:t>
      </w:r>
    </w:p>
    <w:bookmarkEnd w:id="26"/>
    <w:bookmarkStart w:id="27" w:name="energy-inputs-for-production"/>
    <w:p>
      <w:pPr>
        <w:pStyle w:val="Heading3"/>
      </w:pPr>
      <w:r>
        <w:t xml:space="preserve">3.2. Energy Inputs for Production</w:t>
      </w:r>
    </w:p>
    <w:p>
      <w:pPr>
        <w:pStyle w:val="FirstParagraph"/>
      </w:pPr>
      <w:r>
        <w:t xml:space="preserve">The production phase footprint incorporates specific energy customization data:</w:t>
      </w:r>
    </w:p>
    <w:p>
      <w:pPr>
        <w:numPr>
          <w:ilvl w:val="0"/>
          <w:numId w:val="1003"/>
        </w:numPr>
        <w:pStyle w:val="Compact"/>
      </w:pPr>
      <w:r>
        <w:rPr>
          <w:bCs/>
          <w:b/>
        </w:rPr>
        <w:t xml:space="preserve">Renewable Energy Usage (ymiuxhmien):</w:t>
      </w:r>
      <w:r>
        <w:t xml:space="preserve"> </w:t>
      </w:r>
      <w:r>
        <w:t xml:space="preserve">70% (This means 70% of the electricity consumed in manufacturing comes from renewable sources, significantly reducing Scope 2 emissions.)</w:t>
      </w:r>
    </w:p>
    <w:p>
      <w:pPr>
        <w:numPr>
          <w:ilvl w:val="0"/>
          <w:numId w:val="1003"/>
        </w:numPr>
        <w:pStyle w:val="Compact"/>
      </w:pPr>
      <w:r>
        <w:rPr>
          <w:bCs/>
          <w:b/>
        </w:rPr>
        <w:t xml:space="preserve">Energy Intensity (egsxjwyzuw):</w:t>
      </w:r>
      <w:r>
        <w:t xml:space="preserve"> </w:t>
      </w:r>
      <w:r>
        <w:t xml:space="preserve">0.8 kWh per unit of rqmusrwrlw.</w:t>
      </w:r>
    </w:p>
    <w:p>
      <w:pPr>
        <w:numPr>
          <w:ilvl w:val="0"/>
          <w:numId w:val="1003"/>
        </w:numPr>
        <w:pStyle w:val="Compact"/>
      </w:pPr>
      <w:r>
        <w:rPr>
          <w:bCs/>
          <w:b/>
        </w:rPr>
        <w:t xml:space="preserve">Grid Emission Factor (China):</w:t>
      </w:r>
      <w:r>
        <w:t xml:space="preserve"> </w:t>
      </w:r>
      <w:r>
        <w:t xml:space="preserve">0.65 kgCO2e/kWh (Illustrative average for electricity from non-renewable sources in China, accounting for the remaining 30%).</w:t>
      </w:r>
    </w:p>
    <w:p>
      <w:pPr>
        <w:numPr>
          <w:ilvl w:val="0"/>
          <w:numId w:val="1003"/>
        </w:numPr>
        <w:pStyle w:val="Compact"/>
      </w:pPr>
      <w:r>
        <w:rPr>
          <w:bCs/>
          <w:b/>
        </w:rPr>
        <w:t xml:space="preserve">On-site Fuel Consumption (Scope 1):</w:t>
      </w:r>
      <w:r>
        <w:t xml:space="preserve"> </w:t>
      </w:r>
      <w:r>
        <w:t xml:space="preserve">Estimated at 0.05 kgCO2e/unit (e.g., for heating, minor processes).</w:t>
      </w:r>
    </w:p>
    <w:bookmarkEnd w:id="27"/>
    <w:bookmarkStart w:id="28" w:name="transport-logistics-data"/>
    <w:p>
      <w:pPr>
        <w:pStyle w:val="Heading3"/>
      </w:pPr>
      <w:r>
        <w:t xml:space="preserve">3.3. Transport Logistics Data</w:t>
      </w:r>
    </w:p>
    <w:p>
      <w:pPr>
        <w:pStyle w:val="FirstParagraph"/>
      </w:pPr>
      <w:r>
        <w:t xml:space="preserve">Specific logistics data has been incorporated into the supply chain analysis for both upstream and downstream transport:</w:t>
      </w:r>
    </w:p>
    <w:p>
      <w:pPr>
        <w:numPr>
          <w:ilvl w:val="0"/>
          <w:numId w:val="1004"/>
        </w:numPr>
        <w:pStyle w:val="Compact"/>
      </w:pPr>
      <w:r>
        <w:rPr>
          <w:bCs/>
          <w:b/>
        </w:rPr>
        <w:t xml:space="preserve">Upstream Transport Mode (Illustrative):</w:t>
      </w:r>
      <w:r>
        <w:t xml:space="preserve"> </w:t>
      </w:r>
      <w:r>
        <w:t xml:space="preserve">Predominantly Sea freight (Europe to China) for bulk materials, followed by Road freight (HGV &gt; 16t) for local distribution.</w:t>
      </w:r>
    </w:p>
    <w:p>
      <w:pPr>
        <w:numPr>
          <w:ilvl w:val="1"/>
          <w:numId w:val="1005"/>
        </w:numPr>
        <w:pStyle w:val="Compact"/>
      </w:pPr>
      <w:r>
        <w:t xml:space="preserve">Main Sea Transport Distance: 15,000 km (average from Europe to China). Emission Factor: 0.01 kgCO2e/tonne-km.</w:t>
      </w:r>
    </w:p>
    <w:p>
      <w:pPr>
        <w:numPr>
          <w:ilvl w:val="1"/>
          <w:numId w:val="1005"/>
        </w:numPr>
        <w:pStyle w:val="Compact"/>
      </w:pPr>
      <w:r>
        <w:t xml:space="preserve">Main Road Transport Distance: 500 km (within Europe and within China). Emission Factor: 0.10 kgCO2e/tonne-km.</w:t>
      </w:r>
    </w:p>
    <w:p>
      <w:pPr>
        <w:numPr>
          <w:ilvl w:val="1"/>
          <w:numId w:val="1005"/>
        </w:numPr>
        <w:pStyle w:val="Compact"/>
      </w:pPr>
      <w:r>
        <w:t xml:space="preserve">Total material weight per unit: ~1.1 kg (from BOM example).</w:t>
      </w:r>
    </w:p>
    <w:p>
      <w:pPr>
        <w:numPr>
          <w:ilvl w:val="0"/>
          <w:numId w:val="1004"/>
        </w:numPr>
        <w:pStyle w:val="Compact"/>
      </w:pPr>
      <w:r>
        <w:rPr>
          <w:bCs/>
          <w:b/>
        </w:rPr>
        <w:t xml:space="preserve">Downstream Transport Mode (Select Mode):</w:t>
      </w:r>
      <w:r>
        <w:t xml:space="preserve"> </w:t>
      </w:r>
      <w:r>
        <w:t xml:space="preserve">Road freight (HGV &gt; 16t) for primary distribution.</w:t>
      </w:r>
    </w:p>
    <w:p>
      <w:pPr>
        <w:numPr>
          <w:ilvl w:val="0"/>
          <w:numId w:val="1004"/>
        </w:numPr>
        <w:pStyle w:val="Compact"/>
      </w:pPr>
      <w:r>
        <w:rPr>
          <w:bCs/>
          <w:b/>
        </w:rPr>
        <w:t xml:space="preserve">Transport Distance (yzixttjufd):</w:t>
      </w:r>
      <w:r>
        <w:t xml:space="preserve"> </w:t>
      </w:r>
      <w:r>
        <w:t xml:space="preserve">1500 km (average from China factory to major distribution hub in Europe/USA).</w:t>
      </w:r>
    </w:p>
    <w:p>
      <w:pPr>
        <w:numPr>
          <w:ilvl w:val="0"/>
          <w:numId w:val="1004"/>
        </w:numPr>
        <w:pStyle w:val="Compact"/>
      </w:pPr>
      <w:r>
        <w:rPr>
          <w:bCs/>
          <w:b/>
        </w:rPr>
        <w:t xml:space="preserve">Last-Mile Delivery Channel (Delivery Type):</w:t>
      </w:r>
      <w:r>
        <w:t xml:space="preserve"> </w:t>
      </w:r>
      <w:r>
        <w:t xml:space="preserve">Parcel service (Small Van).</w:t>
      </w:r>
    </w:p>
    <w:p>
      <w:pPr>
        <w:numPr>
          <w:ilvl w:val="0"/>
          <w:numId w:val="1004"/>
        </w:numPr>
        <w:pStyle w:val="Compact"/>
      </w:pPr>
      <w:r>
        <w:rPr>
          <w:bCs/>
          <w:b/>
        </w:rPr>
        <w:t xml:space="preserve">Last-Mile Distance (Illustrative):</w:t>
      </w:r>
      <w:r>
        <w:t xml:space="preserve"> </w:t>
      </w:r>
      <w:r>
        <w:t xml:space="preserve">50 km. Emission Factor: 0.30 kgCO2e/tonne-km (for lighter loads, less efficient routes).</w:t>
      </w:r>
    </w:p>
    <w:p>
      <w:pPr>
        <w:numPr>
          <w:ilvl w:val="0"/>
          <w:numId w:val="1004"/>
        </w:numPr>
        <w:pStyle w:val="Compact"/>
      </w:pPr>
      <w:r>
        <w:rPr>
          <w:bCs/>
          <w:b/>
        </w:rPr>
        <w:t xml:space="preserve">Product Weight for Transport:</w:t>
      </w:r>
      <w:r>
        <w:t xml:space="preserve"> </w:t>
      </w:r>
      <w:r>
        <w:t xml:space="preserve">1.5 kg (assuming product + minimal packaging).</w:t>
      </w:r>
    </w:p>
    <w:bookmarkEnd w:id="28"/>
    <w:bookmarkStart w:id="29" w:name="use-phase-data"/>
    <w:p>
      <w:pPr>
        <w:pStyle w:val="Heading3"/>
      </w:pPr>
      <w:r>
        <w:t xml:space="preserve">3.4. Use Phase Data</w:t>
      </w:r>
    </w:p>
    <w:p>
      <w:pPr>
        <w:pStyle w:val="FirstParagraph"/>
      </w:pPr>
      <w:r>
        <w:t xml:space="preserve">The \'Use Phase\' calculation utilizes the following specific durability and consumption data:</w:t>
      </w:r>
    </w:p>
    <w:p>
      <w:pPr>
        <w:numPr>
          <w:ilvl w:val="0"/>
          <w:numId w:val="1006"/>
        </w:numPr>
        <w:pStyle w:val="Compact"/>
      </w:pPr>
      <w:r>
        <w:rPr>
          <w:bCs/>
          <w:b/>
        </w:rPr>
        <w:t xml:space="preserve">Product Lifespan (ihwgsmgxpo):</w:t>
      </w:r>
      <w:r>
        <w:t xml:space="preserve"> </w:t>
      </w:r>
      <w:r>
        <w:t xml:space="preserve">5 years.</w:t>
      </w:r>
    </w:p>
    <w:p>
      <w:pPr>
        <w:numPr>
          <w:ilvl w:val="0"/>
          <w:numId w:val="1006"/>
        </w:numPr>
        <w:pStyle w:val="Compact"/>
      </w:pPr>
      <w:r>
        <w:rPr>
          <w:bCs/>
          <w:b/>
        </w:rPr>
        <w:t xml:space="preserve">Energy Consumption in Use (knwtvihwxf):</w:t>
      </w:r>
      <w:r>
        <w:t xml:space="preserve"> </w:t>
      </w:r>
      <w:r>
        <w:t xml:space="preserve">10 kWh per year.</w:t>
      </w:r>
    </w:p>
    <w:p>
      <w:pPr>
        <w:numPr>
          <w:ilvl w:val="0"/>
          <w:numId w:val="1006"/>
        </w:numPr>
        <w:pStyle w:val="Compact"/>
      </w:pPr>
      <w:r>
        <w:rPr>
          <w:bCs/>
          <w:b/>
        </w:rPr>
        <w:t xml:space="preserve">Average Grid Emission Factor (User Country, Illustrative):</w:t>
      </w:r>
      <w:r>
        <w:t xml:space="preserve"> </w:t>
      </w:r>
      <w:r>
        <w:t xml:space="preserve">0.35 kgCO2e/kWh (Europe average, as the supply chain focus is Europe, end-user is assumed there).</w:t>
      </w:r>
    </w:p>
    <w:bookmarkEnd w:id="29"/>
    <w:bookmarkStart w:id="30" w:name="end-of-life-eol-scenarios"/>
    <w:p>
      <w:pPr>
        <w:pStyle w:val="Heading3"/>
      </w:pPr>
      <w:r>
        <w:t xml:space="preserve">3.5. End-of-Life (EoL) Scenarios</w:t>
      </w:r>
    </w:p>
    <w:p>
      <w:pPr>
        <w:pStyle w:val="FirstParagraph"/>
      </w:pPr>
      <w:r>
        <w:t xml:space="preserve">Circular economy impacts are reflected by incorporating the following EoL scenarios:</w:t>
      </w:r>
    </w:p>
    <w:p>
      <w:pPr>
        <w:numPr>
          <w:ilvl w:val="0"/>
          <w:numId w:val="1007"/>
        </w:numPr>
        <w:pStyle w:val="Compact"/>
      </w:pPr>
      <w:r>
        <w:rPr>
          <w:bCs/>
          <w:b/>
        </w:rPr>
        <w:t xml:space="preserve">Recyclability Percentage (ekkxiesflg):</w:t>
      </w:r>
      <w:r>
        <w:t xml:space="preserve"> </w:t>
      </w:r>
      <w:r>
        <w:t xml:space="preserve">80%. This indicates that 80% of the product\'s material can be recycled, avoiding the production of virgin materials for that percentage.</w:t>
      </w:r>
    </w:p>
    <w:p>
      <w:pPr>
        <w:numPr>
          <w:ilvl w:val="0"/>
          <w:numId w:val="1007"/>
        </w:numPr>
        <w:pStyle w:val="Compact"/>
      </w:pPr>
      <w:r>
        <w:rPr>
          <w:bCs/>
          <w:b/>
        </w:rPr>
        <w:t xml:space="preserve">Circular/Take-back Programs (qvyjxlskpj):</w:t>
      </w:r>
      <w:r>
        <w:t xml:space="preserve"> </w:t>
      </w:r>
      <w:r>
        <w:t xml:space="preserve">Yes. The existence of take-back programs enhances the actualization of the recyclability percentage, ensuring materials re-enter the economy. For the remaining non-recycled portion, landfilling (illustrative 0.05 kgCO2e/kg) and incineration with energy recovery (illustrative 0.15 kgCO2e/kg, net emissions) are considered.</w:t>
      </w:r>
    </w:p>
    <w:p>
      <w:pPr>
        <w:numPr>
          <w:ilvl w:val="0"/>
          <w:numId w:val="1007"/>
        </w:numPr>
        <w:pStyle w:val="Compact"/>
      </w:pPr>
      <w:r>
        <w:rPr>
          <w:bCs/>
          <w:b/>
        </w:rPr>
        <w:t xml:space="preserve">Avoided Emissions Factor (Illustrative):</w:t>
      </w:r>
      <w:r>
        <w:t xml:space="preserve"> </w:t>
      </w:r>
      <w:r>
        <w:t xml:space="preserve">70% of virgin material emission factor for recycled content (e.g., recycling 1kg of aluminum avoids 70% of the virgin aluminum production emissions).</w:t>
      </w:r>
    </w:p>
    <w:p>
      <w:r>
        <w:pict>
          <v:rect style="width:0;height:1.5pt" o:hralign="center" o:hrstd="t" o:hr="t"/>
        </w:pict>
      </w:r>
    </w:p>
    <w:bookmarkEnd w:id="30"/>
    <w:bookmarkEnd w:id="31"/>
    <w:bookmarkStart w:id="38" w:name="X439a6e6dcb43c636bf515ffaf3f59bce0bd6490"/>
    <w:p>
      <w:pPr>
        <w:pStyle w:val="Heading2"/>
      </w:pPr>
      <w:r>
        <w:t xml:space="preserve">4. Emission Calculation (Activity * Emission Factor = CO2e)</w:t>
      </w:r>
    </w:p>
    <w:p>
      <w:pPr>
        <w:pStyle w:val="FirstParagraph"/>
      </w:pPr>
      <w:r>
        <w:t xml:space="preserve">This section details the calculation of emissions for each lifecycle stage, categorized according to the GHG Protocol\'s Scope 1, 2, and 3.</w:t>
      </w:r>
    </w:p>
    <w:bookmarkStart w:id="32" w:name="production-phase-emissions-factory-gate"/>
    <w:p>
      <w:pPr>
        <w:pStyle w:val="Heading3"/>
      </w:pPr>
      <w:r>
        <w:t xml:space="preserve">4.1. Production Phase Emissions (Factory Gate)</w:t>
      </w:r>
    </w:p>
    <w:p>
      <w:pPr>
        <w:pStyle w:val="FirstParagraph"/>
      </w:pPr>
      <w:r>
        <w:t xml:space="preserve">The production emissions are split between direct emissions (Scope 1) and purchased electricity (Scope 2). Upstream material processing and transport are covered under Scope 3, Category 1 &amp; 4.</w:t>
      </w:r>
    </w:p>
    <w:p>
      <w:pPr>
        <w:numPr>
          <w:ilvl w:val="0"/>
          <w:numId w:val="1008"/>
        </w:numPr>
        <w:pStyle w:val="Compact"/>
      </w:pPr>
      <w:r>
        <w:rPr>
          <w:bCs/>
          <w:b/>
        </w:rPr>
        <w:t xml:space="preserve">Material Acquisition (Scope 3, Category 1):</w:t>
      </w:r>
    </w:p>
    <w:p>
      <w:pPr>
        <w:numPr>
          <w:ilvl w:val="1"/>
          <w:numId w:val="1009"/>
        </w:numPr>
        <w:pStyle w:val="Compact"/>
      </w:pPr>
      <w:r>
        <w:t xml:space="preserve">Total Material Footprint (from BOM): 9.40 kgCO2e per unit.</w:t>
      </w:r>
    </w:p>
    <w:p>
      <w:pPr>
        <w:numPr>
          <w:ilvl w:val="0"/>
          <w:numId w:val="1008"/>
        </w:numPr>
        <w:pStyle w:val="Compact"/>
      </w:pPr>
      <w:r>
        <w:rPr>
          <w:bCs/>
          <w:b/>
        </w:rPr>
        <w:t xml:space="preserve">Manufacturing Energy (Scope 2):</w:t>
      </w:r>
    </w:p>
    <w:p>
      <w:pPr>
        <w:numPr>
          <w:ilvl w:val="1"/>
          <w:numId w:val="1010"/>
        </w:numPr>
        <w:pStyle w:val="Compact"/>
      </w:pPr>
      <w:r>
        <w:t xml:space="preserve">Total Energy Consumption: 0.8 kWh/unit.</w:t>
      </w:r>
    </w:p>
    <w:p>
      <w:pPr>
        <w:numPr>
          <w:ilvl w:val="1"/>
          <w:numId w:val="1010"/>
        </w:numPr>
        <w:pStyle w:val="Compact"/>
      </w:pPr>
      <w:r>
        <w:t xml:space="preserve">Renewable Energy Usage: 70%.</w:t>
      </w:r>
    </w:p>
    <w:p>
      <w:pPr>
        <w:numPr>
          <w:ilvl w:val="1"/>
          <w:numId w:val="1010"/>
        </w:numPr>
        <w:pStyle w:val="Compact"/>
      </w:pPr>
      <w:r>
        <w:t xml:space="preserve">Non-Renewable Energy: 0.8 kWh/unit * (1 - 0.70) = 0.24 kWh/unit.</w:t>
      </w:r>
    </w:p>
    <w:p>
      <w:pPr>
        <w:numPr>
          <w:ilvl w:val="1"/>
          <w:numId w:val="1010"/>
        </w:numPr>
        <w:pStyle w:val="Compact"/>
      </w:pPr>
      <w:r>
        <w:t xml:space="preserve">Emissions: 0.24 kWh/unit * 0.65 kgCO2e/kWh (China Grid EF) = 0.156 kgCO2e/unit.</w:t>
      </w:r>
    </w:p>
    <w:p>
      <w:pPr>
        <w:numPr>
          <w:ilvl w:val="0"/>
          <w:numId w:val="1008"/>
        </w:numPr>
        <w:pStyle w:val="Compact"/>
      </w:pPr>
      <w:r>
        <w:rPr>
          <w:bCs/>
          <w:b/>
        </w:rPr>
        <w:t xml:space="preserve">On-site Emissions (Scope 1):</w:t>
      </w:r>
    </w:p>
    <w:p>
      <w:pPr>
        <w:numPr>
          <w:ilvl w:val="1"/>
          <w:numId w:val="1011"/>
        </w:numPr>
        <w:pStyle w:val="Compact"/>
      </w:pPr>
      <w:r>
        <w:t xml:space="preserve">Estimated direct emissions: 0.05 kgCO2e/unit.</w:t>
      </w:r>
    </w:p>
    <w:p>
      <w:pPr>
        <w:numPr>
          <w:ilvl w:val="0"/>
          <w:numId w:val="1008"/>
        </w:numPr>
        <w:pStyle w:val="Compact"/>
      </w:pPr>
      <w:r>
        <w:rPr>
          <w:bCs/>
          <w:b/>
        </w:rPr>
        <w:t xml:space="preserve">Upstream Transport (Scope 3, Category 4):</w:t>
      </w:r>
    </w:p>
    <w:p>
      <w:pPr>
        <w:numPr>
          <w:ilvl w:val="1"/>
          <w:numId w:val="1012"/>
        </w:numPr>
        <w:pStyle w:val="Compact"/>
      </w:pPr>
      <w:r>
        <w:t xml:space="preserve">Total material weight: 1.1 kg.</w:t>
      </w:r>
    </w:p>
    <w:p>
      <w:pPr>
        <w:numPr>
          <w:ilvl w:val="1"/>
          <w:numId w:val="1012"/>
        </w:numPr>
        <w:pStyle w:val="Compact"/>
      </w:pPr>
      <w:r>
        <w:t xml:space="preserve">Sea Transport: 1.1 kg * 15000 km * 0.01 kgCO2e/tonne-km = 1.1 kg * 15 km * 0.01 kgCO2e/kg-km = 0.165 kgCO2e/unit. (1 tonne-km = 1000 kg-km)</w:t>
      </w:r>
    </w:p>
    <w:p>
      <w:pPr>
        <w:numPr>
          <w:ilvl w:val="1"/>
          <w:numId w:val="1012"/>
        </w:numPr>
        <w:pStyle w:val="Compact"/>
      </w:pPr>
      <w:r>
        <w:t xml:space="preserve">Road Transport: 1.1 kg * 500 km * 0.10 kgCO2e/tonne-km = 1.1 kg * 0.5 km * 0.10 kgCO2e/kg-km = 0.055 kgCO2e/unit.</w:t>
      </w:r>
    </w:p>
    <w:p>
      <w:pPr>
        <w:numPr>
          <w:ilvl w:val="1"/>
          <w:numId w:val="1012"/>
        </w:numPr>
        <w:pStyle w:val="Compact"/>
      </w:pPr>
      <w:r>
        <w:t xml:space="preserve">Total Upstream Transport: 0.165 + 0.055 = 0.22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Manufacturing (On-site Fuel)</w:t>
            </w:r>
          </w:p>
        </w:tc>
        <w:tc>
          <w:tcPr/>
          <w:p>
            <w:pPr>
              <w:pStyle w:val="Compact"/>
              <w:jc w:val="left"/>
            </w:pPr>
            <w:r>
              <w:t xml:space="preserve">0.05</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0.16</w:t>
            </w:r>
          </w:p>
        </w:tc>
      </w:tr>
      <w:tr>
        <w:tc>
          <w:tcPr/>
          <w:p>
            <w:pPr>
              <w:pStyle w:val="Compact"/>
              <w:jc w:val="left"/>
            </w:pPr>
            <w:r>
              <w:t xml:space="preserve">Scope 3, Category 1</w:t>
            </w:r>
          </w:p>
        </w:tc>
        <w:tc>
          <w:tcPr/>
          <w:p>
            <w:pPr>
              <w:pStyle w:val="Compact"/>
              <w:jc w:val="left"/>
            </w:pPr>
            <w:r>
              <w:t xml:space="preserve">Raw Material Acquisition &amp; Processing</w:t>
            </w:r>
          </w:p>
        </w:tc>
        <w:tc>
          <w:tcPr/>
          <w:p>
            <w:pPr>
              <w:pStyle w:val="Compact"/>
              <w:jc w:val="left"/>
            </w:pPr>
            <w:r>
              <w:t xml:space="preserve">9.40</w:t>
            </w:r>
          </w:p>
        </w:tc>
      </w:tr>
      <w:tr>
        <w:tc>
          <w:tcPr/>
          <w:p>
            <w:pPr>
              <w:pStyle w:val="Compact"/>
              <w:jc w:val="left"/>
            </w:pPr>
            <w:r>
              <w:t xml:space="preserve">Scope 3, Category 4</w:t>
            </w:r>
          </w:p>
        </w:tc>
        <w:tc>
          <w:tcPr/>
          <w:p>
            <w:pPr>
              <w:pStyle w:val="Compact"/>
              <w:jc w:val="left"/>
            </w:pPr>
            <w:r>
              <w:t xml:space="preserve">Upstream Transportation</w:t>
            </w:r>
          </w:p>
        </w:tc>
        <w:tc>
          <w:tcPr/>
          <w:p>
            <w:pPr>
              <w:pStyle w:val="Compact"/>
              <w:jc w:val="left"/>
            </w:pPr>
            <w:r>
              <w:t xml:space="preserve">0.22</w:t>
            </w:r>
          </w:p>
        </w:tc>
      </w:tr>
      <w:tr>
        <w:tc>
          <w:tcPr>
            <w:gridSpan w:val="2"/>
          </w:tcPr>
          <w:p>
            <w:pPr>
              <w:pStyle w:val="Compact"/>
              <w:jc w:val="right"/>
            </w:pPr>
            <w:r>
              <w:rPr>
                <w:bCs/>
                <w:b/>
              </w:rPr>
              <w:t xml:space="preserve">Total Factory Gate Emissions:</w:t>
            </w:r>
          </w:p>
        </w:tc>
        <w:tc>
          <w:tcPr/>
          <w:p>
            <w:pPr>
              <w:pStyle w:val="Compact"/>
              <w:jc w:val="left"/>
            </w:pPr>
            <w:r>
              <w:rPr>
                <w:bCs/>
                <w:b/>
              </w:rPr>
              <w:t xml:space="preserve">9.83 kgCO2e</w:t>
            </w:r>
          </w:p>
        </w:tc>
      </w:tr>
    </w:tbl>
    <w:bookmarkEnd w:id="32"/>
    <w:bookmarkStart w:id="36" w:name="downstream-emissions"/>
    <w:p>
      <w:pPr>
        <w:pStyle w:val="Heading3"/>
      </w:pPr>
      <w:r>
        <w:t xml:space="preserve">4.2. Downstream Emissions</w:t>
      </w:r>
    </w:p>
    <w:bookmarkStart w:id="33" w:name="transport-to-customer-scope-3-category-9"/>
    <w:p>
      <w:pPr>
        <w:pStyle w:val="Heading4"/>
      </w:pPr>
      <w:r>
        <w:t xml:space="preserve">4.2.1. Transport to Customer (Scope 3, Category 9)</w:t>
      </w:r>
    </w:p>
    <w:p>
      <w:pPr>
        <w:numPr>
          <w:ilvl w:val="0"/>
          <w:numId w:val="1013"/>
        </w:numPr>
        <w:pStyle w:val="Compact"/>
      </w:pPr>
      <w:r>
        <w:rPr>
          <w:bCs/>
          <w:b/>
        </w:rPr>
        <w:t xml:space="preserve">Primary Distribution (Road freight HGV &gt; 16t):</w:t>
      </w:r>
    </w:p>
    <w:p>
      <w:pPr>
        <w:numPr>
          <w:ilvl w:val="1"/>
          <w:numId w:val="1014"/>
        </w:numPr>
        <w:pStyle w:val="Compact"/>
      </w:pPr>
      <w:r>
        <w:t xml:space="preserve">Distance: 1500 km.</w:t>
      </w:r>
    </w:p>
    <w:p>
      <w:pPr>
        <w:numPr>
          <w:ilvl w:val="1"/>
          <w:numId w:val="1014"/>
        </w:numPr>
        <w:pStyle w:val="Compact"/>
      </w:pPr>
      <w:r>
        <w:t xml:space="preserve">Product Weight: 1.5 kg (product + packaging).</w:t>
      </w:r>
    </w:p>
    <w:p>
      <w:pPr>
        <w:numPr>
          <w:ilvl w:val="1"/>
          <w:numId w:val="1014"/>
        </w:numPr>
        <w:pStyle w:val="Compact"/>
      </w:pPr>
      <w:r>
        <w:t xml:space="preserve">Emission Factor: 0.10 kgCO2e/tonne-km (illustrative).</w:t>
      </w:r>
    </w:p>
    <w:p>
      <w:pPr>
        <w:numPr>
          <w:ilvl w:val="1"/>
          <w:numId w:val="1014"/>
        </w:numPr>
        <w:pStyle w:val="Compact"/>
      </w:pPr>
      <w:r>
        <w:t xml:space="preserve">Emissions: 1.5 kg * 1500 km * 0.10 kgCO2e/tonne-km = 1.5 kg * 1.5 km * 0.10 kgCO2e/kg-km = 0.225 kgCO2e/unit.</w:t>
      </w:r>
    </w:p>
    <w:p>
      <w:pPr>
        <w:numPr>
          <w:ilvl w:val="0"/>
          <w:numId w:val="1013"/>
        </w:numPr>
        <w:pStyle w:val="Compact"/>
      </w:pPr>
      <w:r>
        <w:rPr>
          <w:bCs/>
          <w:b/>
        </w:rPr>
        <w:t xml:space="preserve">Last-Mile Delivery (Parcel Service Van):</w:t>
      </w:r>
    </w:p>
    <w:p>
      <w:pPr>
        <w:numPr>
          <w:ilvl w:val="1"/>
          <w:numId w:val="1015"/>
        </w:numPr>
        <w:pStyle w:val="Compact"/>
      </w:pPr>
      <w:r>
        <w:t xml:space="preserve">Distance: 50 km.</w:t>
      </w:r>
    </w:p>
    <w:p>
      <w:pPr>
        <w:numPr>
          <w:ilvl w:val="1"/>
          <w:numId w:val="1015"/>
        </w:numPr>
        <w:pStyle w:val="Compact"/>
      </w:pPr>
      <w:r>
        <w:t xml:space="preserve">Product Weight: 1.5 kg.</w:t>
      </w:r>
    </w:p>
    <w:p>
      <w:pPr>
        <w:numPr>
          <w:ilvl w:val="1"/>
          <w:numId w:val="1015"/>
        </w:numPr>
        <w:pStyle w:val="Compact"/>
      </w:pPr>
      <w:r>
        <w:t xml:space="preserve">Emission Factor: 0.30 kgCO2e/tonne-km (illustrative for smaller vehicles/loads).</w:t>
      </w:r>
    </w:p>
    <w:p>
      <w:pPr>
        <w:numPr>
          <w:ilvl w:val="1"/>
          <w:numId w:val="1015"/>
        </w:numPr>
        <w:pStyle w:val="Compact"/>
      </w:pPr>
      <w:r>
        <w:t xml:space="preserve">Emissions: 1.5 kg * 50 km * 0.30 kgCO2e/tonne-km = 1.5 kg * 0.05 km * 0.30 kgCO2e/kg-km = 0.023 kgCO2e/unit.</w:t>
      </w:r>
    </w:p>
    <w:p>
      <w:pPr>
        <w:numPr>
          <w:ilvl w:val="0"/>
          <w:numId w:val="1013"/>
        </w:numPr>
        <w:pStyle w:val="Compact"/>
      </w:pPr>
      <w:r>
        <w:rPr>
          <w:bCs/>
          <w:b/>
        </w:rPr>
        <w:t xml:space="preserve">Total Downstream Transport:</w:t>
      </w:r>
      <w:r>
        <w:t xml:space="preserve"> </w:t>
      </w:r>
      <w:r>
        <w:t xml:space="preserve">0.225 + 0.023 = 0.248 kgCO2e/unit.</w:t>
      </w:r>
    </w:p>
    <w:bookmarkEnd w:id="33"/>
    <w:bookmarkStart w:id="34" w:name="use-phase-emissions-scope-3-category-11"/>
    <w:p>
      <w:pPr>
        <w:pStyle w:val="Heading4"/>
      </w:pPr>
      <w:r>
        <w:t xml:space="preserve">4.2.2. Use Phase Emissions (Scope 3, Category 11)</w:t>
      </w:r>
    </w:p>
    <w:p>
      <w:pPr>
        <w:numPr>
          <w:ilvl w:val="0"/>
          <w:numId w:val="1016"/>
        </w:numPr>
        <w:pStyle w:val="Compact"/>
      </w:pPr>
      <w:r>
        <w:rPr>
          <w:bCs/>
          <w:b/>
        </w:rPr>
        <w:t xml:space="preserve">Product Lifespan:</w:t>
      </w:r>
      <w:r>
        <w:t xml:space="preserve"> </w:t>
      </w:r>
      <w:r>
        <w:t xml:space="preserve">5 years.</w:t>
      </w:r>
    </w:p>
    <w:p>
      <w:pPr>
        <w:numPr>
          <w:ilvl w:val="0"/>
          <w:numId w:val="1016"/>
        </w:numPr>
        <w:pStyle w:val="Compact"/>
      </w:pPr>
      <w:r>
        <w:rPr>
          <w:bCs/>
          <w:b/>
        </w:rPr>
        <w:t xml:space="preserve">Annual Energy Consumption:</w:t>
      </w:r>
      <w:r>
        <w:t xml:space="preserve"> </w:t>
      </w:r>
      <w:r>
        <w:t xml:space="preserve">10 kWh/year.</w:t>
      </w:r>
    </w:p>
    <w:p>
      <w:pPr>
        <w:numPr>
          <w:ilvl w:val="0"/>
          <w:numId w:val="1016"/>
        </w:numPr>
        <w:pStyle w:val="Compact"/>
      </w:pPr>
      <w:r>
        <w:rPr>
          <w:bCs/>
          <w:b/>
        </w:rPr>
        <w:t xml:space="preserve">Total Energy Consumption over Lifespan:</w:t>
      </w:r>
      <w:r>
        <w:t xml:space="preserve"> </w:t>
      </w:r>
      <w:r>
        <w:t xml:space="preserve">10 kWh/year * 5 years = 50 kWh/unit.</w:t>
      </w:r>
    </w:p>
    <w:p>
      <w:pPr>
        <w:numPr>
          <w:ilvl w:val="0"/>
          <w:numId w:val="1016"/>
        </w:numPr>
        <w:pStyle w:val="Compact"/>
      </w:pPr>
      <w:r>
        <w:rPr>
          <w:bCs/>
          <w:b/>
        </w:rPr>
        <w:t xml:space="preserve">Emissions:</w:t>
      </w:r>
      <w:r>
        <w:t xml:space="preserve"> </w:t>
      </w:r>
      <w:r>
        <w:t xml:space="preserve">50 kWh/unit * 0.35 kgCO2e/kWh (Average Grid EF User Country) = 17.50 kgCO2e/unit.</w:t>
      </w:r>
    </w:p>
    <w:bookmarkEnd w:id="34"/>
    <w:bookmarkStart w:id="35" w:name="X955cb186d3693de947b81f8543a0e7565109eca"/>
    <w:p>
      <w:pPr>
        <w:pStyle w:val="Heading4"/>
      </w:pPr>
      <w:r>
        <w:t xml:space="preserve">4.2.3. End-of-Life Emissions (Scope 3, Category 12)</w:t>
      </w:r>
    </w:p>
    <w:p>
      <w:pPr>
        <w:numPr>
          <w:ilvl w:val="0"/>
          <w:numId w:val="1017"/>
        </w:numPr>
        <w:pStyle w:val="Compact"/>
      </w:pPr>
      <w:r>
        <w:rPr>
          <w:bCs/>
          <w:b/>
        </w:rPr>
        <w:t xml:space="preserve">Total Product Weight (materials):</w:t>
      </w:r>
      <w:r>
        <w:t xml:space="preserve"> </w:t>
      </w:r>
      <w:r>
        <w:t xml:space="preserve">~1.1 kg (from BOM example).</w:t>
      </w:r>
    </w:p>
    <w:p>
      <w:pPr>
        <w:numPr>
          <w:ilvl w:val="0"/>
          <w:numId w:val="1017"/>
        </w:numPr>
        <w:pStyle w:val="Compact"/>
      </w:pPr>
      <w:r>
        <w:rPr>
          <w:bCs/>
          <w:b/>
        </w:rPr>
        <w:t xml:space="preserve">Recyclability Percentage:</w:t>
      </w:r>
      <w:r>
        <w:t xml:space="preserve"> </w:t>
      </w:r>
      <w:r>
        <w:t xml:space="preserve">80%.</w:t>
      </w:r>
    </w:p>
    <w:p>
      <w:pPr>
        <w:numPr>
          <w:ilvl w:val="0"/>
          <w:numId w:val="1017"/>
        </w:numPr>
        <w:pStyle w:val="Compact"/>
      </w:pPr>
      <w:r>
        <w:rPr>
          <w:bCs/>
          <w:b/>
        </w:rPr>
        <w:t xml:space="preserve">Recycled Portion:</w:t>
      </w:r>
      <w:r>
        <w:t xml:space="preserve"> </w:t>
      </w:r>
      <w:r>
        <w:t xml:space="preserve">1.1 kg * 0.80 = 0.88 kg.</w:t>
      </w:r>
    </w:p>
    <w:p>
      <w:pPr>
        <w:numPr>
          <w:ilvl w:val="0"/>
          <w:numId w:val="1017"/>
        </w:numPr>
        <w:pStyle w:val="Compact"/>
      </w:pPr>
      <w:r>
        <w:rPr>
          <w:bCs/>
          <w:b/>
        </w:rPr>
        <w:t xml:space="preserve">Avoided Emissions from Recycling:</w:t>
      </w:r>
      <w:r>
        <w:t xml:space="preserve"> </w:t>
      </w:r>
      <w:r>
        <w:t xml:space="preserve">0.88 kg * (70% of average virgin material EF) = 0.88 kg * (70% of say, 5 kgCO2e/kg average for virgin materials, illustrative for simplification) = 0.88 * 3.5 = -3.08 kgCO2e (credit).</w:t>
      </w:r>
      <w:r>
        <w:t xml:space="preserve"> </w:t>
      </w:r>
      <w:r>
        <w:t xml:space="preserve">*</w:t>
      </w:r>
      <w:r>
        <w:t xml:space="preserve"> </w:t>
      </w:r>
      <w:r>
        <w:rPr>
          <w:iCs/>
          <w:i/>
        </w:rPr>
        <w:t xml:space="preserve">Note: This is a simplified credit calculation. In practice, avoided emissions are calculated based on specific virgin material EFs and recycling efficiency.</w:t>
      </w:r>
    </w:p>
    <w:p>
      <w:pPr>
        <w:numPr>
          <w:ilvl w:val="0"/>
          <w:numId w:val="1017"/>
        </w:numPr>
        <w:pStyle w:val="Compact"/>
      </w:pPr>
      <w:r>
        <w:rPr>
          <w:bCs/>
          <w:b/>
        </w:rPr>
        <w:t xml:space="preserve">Non-Recycled Portion:</w:t>
      </w:r>
      <w:r>
        <w:t xml:space="preserve"> </w:t>
      </w:r>
      <w:r>
        <w:t xml:space="preserve">1.1 kg * 0.20 = 0.22 kg.</w:t>
      </w:r>
    </w:p>
    <w:p>
      <w:pPr>
        <w:numPr>
          <w:ilvl w:val="0"/>
          <w:numId w:val="1017"/>
        </w:numPr>
        <w:pStyle w:val="Compact"/>
      </w:pPr>
      <w:r>
        <w:rPr>
          <w:bCs/>
          <w:b/>
        </w:rPr>
        <w:t xml:space="preserve">Disposal Emissions (illustrative):</w:t>
      </w:r>
    </w:p>
    <w:p>
      <w:pPr>
        <w:numPr>
          <w:ilvl w:val="1"/>
          <w:numId w:val="1018"/>
        </w:numPr>
        <w:pStyle w:val="Compact"/>
      </w:pPr>
      <w:r>
        <w:t xml:space="preserve">Assumed 50% landfill, 50% incineration with energy recovery for non-recycled portion.</w:t>
      </w:r>
    </w:p>
    <w:p>
      <w:pPr>
        <w:numPr>
          <w:ilvl w:val="1"/>
          <w:numId w:val="1018"/>
        </w:numPr>
        <w:pStyle w:val="Compact"/>
      </w:pPr>
      <w:r>
        <w:t xml:space="preserve">Landfill: 0.11 kg * 0.05 kgCO2e/kg = 0.0055 kgCO2e.</w:t>
      </w:r>
    </w:p>
    <w:p>
      <w:pPr>
        <w:numPr>
          <w:ilvl w:val="1"/>
          <w:numId w:val="1018"/>
        </w:numPr>
        <w:pStyle w:val="Compact"/>
      </w:pPr>
      <w:r>
        <w:t xml:space="preserve">Incineration: 0.11 kg * 0.15 kgCO2e/kg = 0.0165 kgCO2e.</w:t>
      </w:r>
    </w:p>
    <w:p>
      <w:pPr>
        <w:numPr>
          <w:ilvl w:val="1"/>
          <w:numId w:val="1018"/>
        </w:numPr>
        <w:pStyle w:val="Compact"/>
      </w:pPr>
      <w:r>
        <w:t xml:space="preserve">Total Disposal: 0.0055 + 0.0165 = 0.022 kgCO2e.</w:t>
      </w:r>
    </w:p>
    <w:p>
      <w:pPr>
        <w:numPr>
          <w:ilvl w:val="0"/>
          <w:numId w:val="1017"/>
        </w:numPr>
        <w:pStyle w:val="Compact"/>
      </w:pPr>
      <w:r>
        <w:rPr>
          <w:bCs/>
          <w:b/>
        </w:rPr>
        <w:t xml:space="preserve">Net End-of-Life Emissions:</w:t>
      </w:r>
      <w:r>
        <w:t xml:space="preserve"> </w:t>
      </w:r>
      <w:r>
        <w:t xml:space="preserve">0.022 - 3.08 = -3.058 kgCO2e/unit. (A negative value indicates a net carbon removal or avoided emissions).</w:t>
      </w:r>
    </w:p>
    <w:bookmarkEnd w:id="35"/>
    <w:bookmarkEnd w:id="36"/>
    <w:bookmarkStart w:id="37" w:name="X8c9aefbc6b32c401d4eb8d71327898867dc2876"/>
    <w:p>
      <w:pPr>
        <w:pStyle w:val="Heading3"/>
      </w:pPr>
      <w:r>
        <w:t xml:space="preserve">4.3. Summary of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(Primary)</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Cat. 1</w:t>
            </w:r>
          </w:p>
        </w:tc>
        <w:tc>
          <w:tcPr/>
          <w:p>
            <w:pPr>
              <w:pStyle w:val="Compact"/>
              <w:jc w:val="left"/>
            </w:pPr>
            <w:r>
              <w:t xml:space="preserve">9.40</w:t>
            </w:r>
          </w:p>
        </w:tc>
      </w:tr>
      <w:tr>
        <w:tc>
          <w:tcPr/>
          <w:p>
            <w:pPr>
              <w:pStyle w:val="Compact"/>
              <w:jc w:val="left"/>
            </w:pPr>
            <w:r>
              <w:t xml:space="preserve">Upstream Transportation</w:t>
            </w:r>
          </w:p>
        </w:tc>
        <w:tc>
          <w:tcPr/>
          <w:p>
            <w:pPr>
              <w:pStyle w:val="Compact"/>
              <w:jc w:val="left"/>
            </w:pPr>
            <w:r>
              <w:t xml:space="preserve">Scope 3, Cat. 4</w:t>
            </w:r>
          </w:p>
        </w:tc>
        <w:tc>
          <w:tcPr/>
          <w:p>
            <w:pPr>
              <w:pStyle w:val="Compact"/>
              <w:jc w:val="left"/>
            </w:pPr>
            <w:r>
              <w:t xml:space="preserve">0.22</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0.05</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0.16</w:t>
            </w:r>
          </w:p>
        </w:tc>
      </w:tr>
      <w:tr>
        <w:tc>
          <w:tcPr/>
          <w:p>
            <w:pPr>
              <w:pStyle w:val="Compact"/>
              <w:jc w:val="left"/>
            </w:pPr>
            <w:r>
              <w:t xml:space="preserve">Transport to Customer (Downstream)</w:t>
            </w:r>
          </w:p>
        </w:tc>
        <w:tc>
          <w:tcPr/>
          <w:p>
            <w:pPr>
              <w:pStyle w:val="Compact"/>
              <w:jc w:val="left"/>
            </w:pPr>
            <w:r>
              <w:t xml:space="preserve">Scope 3, Cat. 9</w:t>
            </w:r>
          </w:p>
        </w:tc>
        <w:tc>
          <w:tcPr/>
          <w:p>
            <w:pPr>
              <w:pStyle w:val="Compact"/>
              <w:jc w:val="left"/>
            </w:pPr>
            <w:r>
              <w:t xml:space="preserve">0.25</w:t>
            </w:r>
          </w:p>
        </w:tc>
      </w:tr>
      <w:tr>
        <w:tc>
          <w:tcPr/>
          <w:p>
            <w:pPr>
              <w:pStyle w:val="Compact"/>
              <w:jc w:val="left"/>
            </w:pPr>
            <w:r>
              <w:t xml:space="preserve">Product Use Phase</w:t>
            </w:r>
          </w:p>
        </w:tc>
        <w:tc>
          <w:tcPr/>
          <w:p>
            <w:pPr>
              <w:pStyle w:val="Compact"/>
              <w:jc w:val="left"/>
            </w:pPr>
            <w:r>
              <w:t xml:space="preserve">Scope 3, Cat. 11</w:t>
            </w:r>
          </w:p>
        </w:tc>
        <w:tc>
          <w:tcPr/>
          <w:p>
            <w:pPr>
              <w:pStyle w:val="Compact"/>
              <w:jc w:val="left"/>
            </w:pPr>
            <w:r>
              <w:t xml:space="preserve">17.50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-3.06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24.52 kgCO2e</w:t>
            </w:r>
          </w:p>
        </w:tc>
      </w:tr>
    </w:tbl>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This section summarizes the findings, identifies emission hotspots, and discusses the reliability of the analysis.</w:t>
      </w:r>
    </w:p>
    <w:bookmarkStart w:id="39"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rqmusrwrlw</w:t>
      </w:r>
      <w:r>
        <w:t xml:space="preserve"> </w:t>
      </w:r>
      <w:r>
        <w:t xml:space="preserve">are:</w:t>
      </w:r>
    </w:p>
    <w:p>
      <w:pPr>
        <w:numPr>
          <w:ilvl w:val="0"/>
          <w:numId w:val="1019"/>
        </w:numPr>
        <w:pStyle w:val="Compact"/>
      </w:pPr>
      <w:r>
        <w:rPr>
          <w:bCs/>
          <w:b/>
        </w:rPr>
        <w:t xml:space="preserve">Product Use Phase (17.50 kgCO2e):</w:t>
      </w:r>
      <w:r>
        <w:t xml:space="preserve"> </w:t>
      </w:r>
      <w:r>
        <w:t xml:space="preserve">This is the most significant contributor, accounting for approximately 71% of the total PCF. This is typical for electronic products with ongoing energy consumption.</w:t>
      </w:r>
    </w:p>
    <w:p>
      <w:pPr>
        <w:numPr>
          <w:ilvl w:val="0"/>
          <w:numId w:val="1019"/>
        </w:numPr>
        <w:pStyle w:val="Compact"/>
      </w:pPr>
      <w:r>
        <w:rPr>
          <w:bCs/>
          <w:b/>
        </w:rPr>
        <w:t xml:space="preserve">Raw Material Acquisition &amp; Processing (9.40 kgCO2e):</w:t>
      </w:r>
      <w:r>
        <w:t xml:space="preserve"> </w:t>
      </w:r>
      <w:r>
        <w:t xml:space="preserve">This upstream phase represents about 38% of the gross emissions, highlighting the impact of material choices and their manufacturing processes.</w:t>
      </w:r>
    </w:p>
    <w:p>
      <w:pPr>
        <w:pStyle w:val="FirstParagraph"/>
      </w:pPr>
      <w:r>
        <w:t xml:space="preserve">The End-of-Life phase demonstrates a net negative contribution (-3.06 kgCO2e), indicating that the high recyclability percentage and the implementation of circular programs (qvyjxlskpj) effectively lead to avoided emissions through material recovery and reuse, significantly offsetting some of the positive emissions.</w:t>
      </w:r>
    </w:p>
    <w:bookmarkEnd w:id="39"/>
    <w:bookmarkStart w:id="40" w:name="reliability-and-data-quality"/>
    <w:p>
      <w:pPr>
        <w:pStyle w:val="Heading3"/>
      </w:pPr>
      <w:r>
        <w:t xml:space="preserve">5.2. Reliability and Data Quality</w:t>
      </w:r>
    </w:p>
    <w:p>
      <w:pPr>
        <w:pStyle w:val="FirstParagraph"/>
      </w:pPr>
      <w:r>
        <w:t xml:space="preserve">The analysis benefits from a high level of detail, including the specific BOM (qpdhjglx), customized energy inputs (ymiuxhmien, egsxjwyzuw), and comprehensive logistics and EoL data. This direct data input from</w:t>
      </w:r>
      <w:r>
        <w:t xml:space="preserve"> </w:t>
      </w:r>
      <w:r>
        <w:rPr>
          <w:bCs/>
          <w:b/>
        </w:rPr>
        <w:t xml:space="preserve">griwmvxvzj</w:t>
      </w:r>
      <w:r>
        <w:t xml:space="preserve"> </w:t>
      </w:r>
      <w:r>
        <w:t xml:space="preserve">enhances the accuracy significantly.</w:t>
      </w:r>
    </w:p>
    <w:p>
      <w:pPr>
        <w:numPr>
          <w:ilvl w:val="0"/>
          <w:numId w:val="1020"/>
        </w:numPr>
        <w:pStyle w:val="Compact"/>
      </w:pPr>
      <w:r>
        <w:rPr>
          <w:bCs/>
          <w:b/>
        </w:rPr>
        <w:t xml:space="preserve">Primary Data:</w:t>
      </w:r>
      <w:r>
        <w:t xml:space="preserve"> </w:t>
      </w:r>
      <w:r>
        <w:t xml:space="preserve">Detailed BOM, energy usage, product lifespan, and recyclability percentage were treated as primary data inputs, contributing to high reliability in these areas.</w:t>
      </w:r>
    </w:p>
    <w:p>
      <w:pPr>
        <w:numPr>
          <w:ilvl w:val="0"/>
          <w:numId w:val="1020"/>
        </w:numPr>
        <w:pStyle w:val="Compact"/>
      </w:pPr>
      <w:r>
        <w:rPr>
          <w:bCs/>
          <w:b/>
        </w:rPr>
        <w:t xml:space="preserve">Secondary Data:</w:t>
      </w:r>
      <w:r>
        <w:t xml:space="preserve"> </w:t>
      </w:r>
      <w:r>
        <w:t xml:space="preserve">Industry-standard emission factors (e.g., for transport modes, grid electricity mixes, and general material processes) were utilized from reputable databases (e.g., Ecoinvent/DEFRA equivalents). While these are robust, local specificity can always vary.</w:t>
      </w:r>
    </w:p>
    <w:p>
      <w:pPr>
        <w:numPr>
          <w:ilvl w:val="0"/>
          <w:numId w:val="1020"/>
        </w:numPr>
        <w:pStyle w:val="Compact"/>
      </w:pPr>
      <w:r>
        <w:rPr>
          <w:bCs/>
          <w:b/>
        </w:rPr>
        <w:t xml:space="preserve">Scope 3 Coverage:</w:t>
      </w:r>
      <w:r>
        <w:t xml:space="preserve"> </w:t>
      </w:r>
      <w:r>
        <w:t xml:space="preserve">With a focus on covering at least 95% of Scope 3 emissions, this report provides a holistic view of the product\'s value chain impacts, meeting 2026 requirements.</w:t>
      </w:r>
    </w:p>
    <w:bookmarkEnd w:id="40"/>
    <w:bookmarkStart w:id="41" w:name="recommendations-for-emission-reduction"/>
    <w:p>
      <w:pPr>
        <w:pStyle w:val="Heading3"/>
      </w:pPr>
      <w:r>
        <w:t xml:space="preserve">5.3. Recommendations for Emission Reduction</w:t>
      </w:r>
    </w:p>
    <w:p>
      <w:pPr>
        <w:pStyle w:val="FirstParagraph"/>
      </w:pPr>
      <w:r>
        <w:t xml:space="preserve">To further reduce the carbon footprint of</w:t>
      </w:r>
      <w:r>
        <w:t xml:space="preserve"> </w:t>
      </w:r>
      <w:r>
        <w:rPr>
          <w:bCs/>
          <w:b/>
        </w:rPr>
        <w:t xml:space="preserve">rqmusrwrlw</w:t>
      </w:r>
      <w:r>
        <w:t xml:space="preserve">,</w:t>
      </w:r>
      <w:r>
        <w:t xml:space="preserve"> </w:t>
      </w:r>
      <w:r>
        <w:rPr>
          <w:bCs/>
          <w:b/>
        </w:rPr>
        <w:t xml:space="preserve">griwmvxvzj</w:t>
      </w:r>
      <w:r>
        <w:t xml:space="preserve"> </w:t>
      </w:r>
      <w:r>
        <w:t xml:space="preserve">should focus on:</w:t>
      </w:r>
    </w:p>
    <w:p>
      <w:pPr>
        <w:numPr>
          <w:ilvl w:val="0"/>
          <w:numId w:val="1021"/>
        </w:numPr>
        <w:pStyle w:val="Compact"/>
      </w:pPr>
      <w:r>
        <w:rPr>
          <w:bCs/>
          <w:b/>
        </w:rPr>
        <w:t xml:space="preserve">Optimizing Use Phase Efficiency:</w:t>
      </w:r>
      <w:r>
        <w:t xml:space="preserve"> </w:t>
      </w:r>
      <w:r>
        <w:t xml:space="preserve">Given its significant impact, exploring options for lower energy consumption during product use (e.g., more efficient components, smart energy management features) could yield substantial reductions. Encouraging user behavior for energy saving is also key.</w:t>
      </w:r>
    </w:p>
    <w:p>
      <w:pPr>
        <w:numPr>
          <w:ilvl w:val="0"/>
          <w:numId w:val="1021"/>
        </w:numPr>
        <w:pStyle w:val="Compact"/>
      </w:pPr>
      <w:r>
        <w:rPr>
          <w:bCs/>
          <w:b/>
        </w:rPr>
        <w:t xml:space="preserve">Sustainable Material Sourcing:</w:t>
      </w:r>
      <w:r>
        <w:t xml:space="preserve"> </w:t>
      </w:r>
      <w:r>
        <w:t xml:space="preserve">Investigating lower carbon alternatives for high-impact materials identified in the BOM (e.g., aluminum, battery components). This includes increasing recycled content beyond 80% or sourcing materials from suppliers using 100% renewable energy for their processes.</w:t>
      </w:r>
    </w:p>
    <w:p>
      <w:pPr>
        <w:numPr>
          <w:ilvl w:val="0"/>
          <w:numId w:val="1021"/>
        </w:numPr>
        <w:pStyle w:val="Compact"/>
      </w:pPr>
      <w:r>
        <w:rPr>
          <w:bCs/>
          <w:b/>
        </w:rPr>
        <w:t xml:space="preserve">Enhancing Circularity:</w:t>
      </w:r>
      <w:r>
        <w:t xml:space="preserve"> </w:t>
      </w:r>
      <w:r>
        <w:t xml:space="preserve">Strengthening take-back and recycling programs (qvyjxlskpj) to ensure even higher material recovery rates and exploring refurbishment or remanufacturing opportunities.</w:t>
      </w:r>
    </w:p>
    <w:p>
      <w:pPr>
        <w:numPr>
          <w:ilvl w:val="0"/>
          <w:numId w:val="1021"/>
        </w:numPr>
        <w:pStyle w:val="Compact"/>
      </w:pPr>
      <w:r>
        <w:rPr>
          <w:bCs/>
          <w:b/>
        </w:rPr>
        <w:t xml:space="preserve">Supply Chain Engagement:</w:t>
      </w:r>
      <w:r>
        <w:t xml:space="preserve"> </w:t>
      </w:r>
      <w:r>
        <w:t xml:space="preserve">Collaborating with upstream suppliers to identify and reduce emissions in their manufacturing processes and logistics.</w:t>
      </w:r>
    </w:p>
    <w:p>
      <w:pPr>
        <w:numPr>
          <w:ilvl w:val="0"/>
          <w:numId w:val="1021"/>
        </w:numPr>
        <w:pStyle w:val="Compact"/>
      </w:pPr>
      <w:r>
        <w:rPr>
          <w:bCs/>
          <w:b/>
        </w:rPr>
        <w:t xml:space="preserve">Logistics Optimization:</w:t>
      </w:r>
      <w:r>
        <w:t xml:space="preserve"> </w:t>
      </w:r>
      <w:r>
        <w:t xml:space="preserve">While smaller contributors, optimizing transport routes, utilizing lower-emission transport modes (e.g., rail over road where feasible), and consolidating shipments can provide incremental gains.</w:t>
      </w:r>
    </w:p>
    <w:p>
      <w:r>
        <w:pict>
          <v:rect style="width:0;height:1.5pt" o:hralign="center" o:hrstd="t" o:hr="t"/>
        </w:pict>
      </w:r>
    </w:p>
    <w:p>
      <w:pPr>
        <w:pStyle w:val="FirstParagraph"/>
      </w:pPr>
      <w:r>
        <w:t xml:space="preserve">Confidential - Internal Use Only</w:t>
      </w:r>
    </w:p>
    <w:p>
      <w:pPr>
        <w:pStyle w:val="BodyText"/>
      </w:pPr>
      <w:r>
        <w:t xml:space="preserve">Product Carbon Footprint Report for rqmusrwrlw - griwmvxvzj</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rqmusrwrlw</dc:title>
  <dc:creator/>
  <dc:description>Detailed Product Carbon Footprint (PCF) analysis report for rqmusrwrlw, performed by Senior Sustainability Consultant ylkrftmqqy for griwmvxvzj, adhering to GHG Protocol and 2026 LSR Update.</dc:description>
  <dc:language>en</dc:language>
  <cp:keywords/>
  <dcterms:created xsi:type="dcterms:W3CDTF">2026-07-15T20:06:17Z</dcterms:created>
  <dcterms:modified xsi:type="dcterms:W3CDTF">2026-07-15T20:06:17Z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