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rqlnuttnff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rqlnuttnff</w:t>
      </w:r>
    </w:p>
    <w:p>
      <w:pPr>
        <w:pStyle w:val="BodyText"/>
      </w:pPr>
      <w:r>
        <w:rPr>
          <w:bCs/>
          <w:b/>
        </w:rPr>
        <w:t xml:space="preserve">Company:</w:t>
      </w:r>
      <w:r>
        <w:t xml:space="preserve"> </w:t>
      </w:r>
      <w:r>
        <w:t xml:space="preserve">slzngevndr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quoweynkvw</w:t>
      </w:r>
    </w:p>
    <w:p>
      <w:pPr>
        <w:pStyle w:val="BodyText"/>
      </w:pPr>
      <w:r>
        <w:t xml:space="preserve">This report is generated based on available data and industry standards, providing a high-level assessment of the product carbon footprint. Specific values for parameters like BOM data, transport distance, energy usage, and circularity programs have been interpreted from the provided string inputs for illustrative calculation purposes.</w:t>
      </w:r>
    </w:p>
    <w:bookmarkEnd w:id="20"/>
    <w:bookmarkStart w:id="52" w:name="Xd4ccb2c6570fe2a62c3a5815dc2b40eeea63f12"/>
    <w:p>
      <w:pPr>
        <w:pStyle w:val="Heading1"/>
      </w:pPr>
      <w:r>
        <w:t xml:space="preserve">Product Carbon Footprint Analysis for rqlnuttnff</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rqlnuttnff</w:t>
      </w:r>
      <w:r>
        <w:t xml:space="preserve">, manufactured by</w:t>
      </w:r>
      <w:r>
        <w:t xml:space="preserve"> </w:t>
      </w:r>
      <w:r>
        <w:rPr>
          <w:bCs/>
          <w:b/>
        </w:rPr>
        <w:t xml:space="preserve">slzngevndr</w:t>
      </w:r>
      <w:r>
        <w:t xml:space="preserve">. The analysis, conducted by Senior Sustainability Consultant</w:t>
      </w:r>
      <w:r>
        <w:t xml:space="preserve"> </w:t>
      </w:r>
      <w:r>
        <w:rPr>
          <w:bCs/>
          <w:b/>
        </w:rPr>
        <w:t xml:space="preserve">quoweynkvw</w:t>
      </w:r>
      <w:r>
        <w:t xml:space="preserve">, adheres strictly to the GHG Protocol, including the 2026 Land Sector and Removals (LSR) Standard and targets at least 95% Scope 3 coverage. The primary goal is to quantify greenhouse gas (GHG) emissions across the product\'s lifecycle, from raw material acquisition to end-of-life, to identify key emission hotspots and guide strategic sustainability improvements.</w:t>
      </w:r>
    </w:p>
    <w:p>
      <w:pPr>
        <w:pStyle w:val="BodyText"/>
      </w:pPr>
      <w:r>
        <w:t xml:space="preserve">The system boundary for this PCF is \'factory_gate\', focusing on emissions up to the point the product leaves the manufacturing facility, with subsequent stages like transport, use, and end-of-life also assessed to provide a holistic view. Key insights reveal significant contributions from material acquisition and energy-intensive manufacturing processes, alongside the use phase. Recommendations focus on enhancing renewable energy integration, optimizing logistics, and strengthening circular economy initiatives.</w:t>
      </w:r>
    </w:p>
    <w:p>
      <w:r>
        <w:pict>
          <v:rect style="width:0;height:1.5pt" o:hralign="center" o:hrstd="t" o:hr="t"/>
        </w:pict>
      </w:r>
    </w:p>
    <w:bookmarkEnd w:id="21"/>
    <w:bookmarkStart w:id="27" w:name="defining-the-scope-of-analysis"/>
    <w:p>
      <w:pPr>
        <w:pStyle w:val="Heading2"/>
      </w:pPr>
      <w:r>
        <w:t xml:space="preserve">1. Defining the Scope of Analysis</w:t>
      </w:r>
    </w:p>
    <w:p>
      <w:pPr>
        <w:pStyle w:val="FirstParagraph"/>
      </w:pPr>
      <w:r>
        <w:t xml:space="preserve">The initial phase of the Product Carbon Footprint (PCF) analysis for</w:t>
      </w:r>
      <w:r>
        <w:t xml:space="preserve"> </w:t>
      </w:r>
      <w:r>
        <w:rPr>
          <w:bCs/>
          <w:b/>
        </w:rPr>
        <w:t xml:space="preserve">rqlnuttnff</w:t>
      </w:r>
      <w:r>
        <w:t xml:space="preserve"> </w:t>
      </w:r>
      <w:r>
        <w:t xml:space="preserve">involves clearly defining the parameters that frame the assessment, ensuring consistency and comparability.</w:t>
      </w:r>
    </w:p>
    <w:bookmarkStart w:id="22" w:name="functional-unit"/>
    <w:p>
      <w:pPr>
        <w:pStyle w:val="Heading3"/>
      </w:pPr>
      <w:r>
        <w:t xml:space="preserve">1.1. Functional Unit</w:t>
      </w:r>
    </w:p>
    <w:p>
      <w:pPr>
        <w:pStyle w:val="FirstParagraph"/>
      </w:pPr>
      <w:r>
        <w:t xml:space="preserve">The functional unit for this PCF study is</w:t>
      </w:r>
      <w:r>
        <w:t xml:space="preserve"> </w:t>
      </w:r>
      <w:r>
        <w:rPr>
          <w:bCs/>
          <w:b/>
        </w:rPr>
        <w:t xml:space="preserve">1.0 unit</w:t>
      </w:r>
      <w:r>
        <w:t xml:space="preserve"> </w:t>
      </w:r>
      <w:r>
        <w:t xml:space="preserve">of</w:t>
      </w:r>
      <w:r>
        <w:t xml:space="preserve"> </w:t>
      </w:r>
      <w:r>
        <w:rPr>
          <w:bCs/>
          <w:b/>
        </w:rPr>
        <w:t xml:space="preserve">rqlnuttnff</w:t>
      </w:r>
      <w:r>
        <w:t xml:space="preserve">. This unit serves as the reference basis to which all input and output flows (including GHG emissions) are related.</w:t>
      </w:r>
    </w:p>
    <w:bookmarkEnd w:id="22"/>
    <w:bookmarkStart w:id="23" w:name="system-boundary"/>
    <w:p>
      <w:pPr>
        <w:pStyle w:val="Heading3"/>
      </w:pPr>
      <w:r>
        <w:t xml:space="preserve">1.2. System Boundary</w:t>
      </w:r>
    </w:p>
    <w:p>
      <w:pPr>
        <w:pStyle w:val="FirstParagraph"/>
      </w:pPr>
      <w:r>
        <w:t xml:space="preserve">The chosen system boundary is</w:t>
      </w:r>
      <w:r>
        <w:t xml:space="preserve"> </w:t>
      </w:r>
      <w:r>
        <w:rPr>
          <w:bCs/>
          <w:b/>
        </w:rPr>
        <w:t xml:space="preserve">factory_gate</w:t>
      </w:r>
      <w:r>
        <w:t xml:space="preserve">. This implies that the core analysis focuses on emissions directly associated with the manufacturing process up to the point the product leaves the factory. However, to provide a comprehensive understanding as per the GHG Protocol and its Scope 3 requirements, the analysis extends to cover additional lifecycle stages including inbound logistics, outbound logistics, use phase, and end-of-life (cradle-to-grave approach). This approach ensures a holistic view of the product\'s environmental impact.</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dual focus acknowledges the global nature of modern supply chains, where manufacturing often occurs in one region while significant material sourcing and market consumption are in another. Emission factors will be selected to reflect these geographic specificities.</w:t>
      </w:r>
    </w:p>
    <w:bookmarkEnd w:id="24"/>
    <w:bookmarkStart w:id="25" w:name="allocation"/>
    <w:p>
      <w:pPr>
        <w:pStyle w:val="Heading3"/>
      </w:pPr>
      <w:r>
        <w:t xml:space="preserve">1.4. Allocation</w:t>
      </w:r>
    </w:p>
    <w:p>
      <w:pPr>
        <w:pStyle w:val="FirstParagraph"/>
      </w:pPr>
      <w:r>
        <w:t xml:space="preserve">Allocation of environmental burdens for co-products, by-products, and recycling activities is performed in accordance with GHG Protocol guidelines. For multi-output processes, allocation is based on relevant physical relationships where possible (e.g., mass). For end-of-life scenarios, a modified avoided burden approach is applied, recognizing the credits associated with high recyclability and circular programs, while also accounting for disposal burdens.</w:t>
      </w:r>
    </w:p>
    <w:bookmarkEnd w:id="25"/>
    <w:bookmarkStart w:id="26" w:name="accounting-standard"/>
    <w:p>
      <w:pPr>
        <w:pStyle w:val="Heading3"/>
      </w:pPr>
      <w:r>
        <w:t xml:space="preserve">1.5. Accounting Standard</w:t>
      </w:r>
    </w:p>
    <w:p>
      <w:pPr>
        <w:pStyle w:val="FirstParagraph"/>
      </w:pPr>
      <w:r>
        <w:t xml:space="preserve">This Product Carbon Footprint analysis adheres strictly to the</w:t>
      </w:r>
      <w:r>
        <w:t xml:space="preserve"> </w:t>
      </w:r>
      <w:r>
        <w:rPr>
          <w:bCs/>
          <w:b/>
        </w:rPr>
        <w:t xml:space="preserve">GHG Protocol Product Standard (A Life Cycle Approach to Assessing Greenhouse Gas Emissions)</w:t>
      </w:r>
      <w:r>
        <w:t xml:space="preserve">. This framework ensures comprehensive categorization of emissions into Scope 1, Scope 2, and Scope 3.</w:t>
      </w:r>
    </w:p>
    <w:p>
      <w:pPr>
        <w:numPr>
          <w:ilvl w:val="0"/>
          <w:numId w:val="1001"/>
        </w:numPr>
        <w:pStyle w:val="Compact"/>
      </w:pPr>
      <w:r>
        <w:rPr>
          <w:bCs/>
          <w:b/>
        </w:rPr>
        <w:t xml:space="preserve">Scope 1: Direct GHG Emissions</w:t>
      </w:r>
      <w:r>
        <w:t xml:space="preserve"> </w:t>
      </w:r>
      <w:r>
        <w:t xml:space="preserve">from sources owned or controlled by the company (e.g., on-site fuel combustion). For a \'factory_gate\' boundary, this typically includes emissions from company-owned or controlled facilities for manufacturing.</w:t>
      </w:r>
    </w:p>
    <w:p>
      <w:pPr>
        <w:numPr>
          <w:ilvl w:val="0"/>
          <w:numId w:val="1001"/>
        </w:numPr>
        <w:pStyle w:val="Compact"/>
      </w:pPr>
      <w:r>
        <w:rPr>
          <w:bCs/>
          <w:b/>
        </w:rPr>
        <w:t xml:space="preserve">Scope 2: Indirect GHG Emissions from Purchased Energy</w:t>
      </w:r>
      <w:r>
        <w:t xml:space="preserve">, primarily electricity, heat, or steam used in the manufacturing process.</w:t>
      </w:r>
    </w:p>
    <w:p>
      <w:pPr>
        <w:numPr>
          <w:ilvl w:val="0"/>
          <w:numId w:val="1001"/>
        </w:numPr>
        <w:pStyle w:val="Compact"/>
      </w:pPr>
      <w:r>
        <w:rPr>
          <w:bCs/>
          <w:b/>
        </w:rPr>
        <w:t xml:space="preserve">Scope 3: Other Indirect GHG Emissions</w:t>
      </w:r>
      <w:r>
        <w:t xml:space="preserve"> </w:t>
      </w:r>
      <w:r>
        <w:t xml:space="preserve">that occur in the value chain, both upstream and downstream. This includes emissions from raw material extraction, transport, use of sold products, and end-of-life treatment. Emphasis is placed on achieving at least 95% coverage for Scope 3 reporting, aligning with enhanced 2026 requirements.</w:t>
      </w:r>
    </w:p>
    <w:p>
      <w:pPr>
        <w:pStyle w:val="FirstParagraph"/>
      </w:pPr>
      <w:r>
        <w:t xml:space="preserve">Furthermore, the analysis incorporates the principles of the</w:t>
      </w:r>
      <w:r>
        <w:t xml:space="preserve"> </w:t>
      </w:r>
      <w:r>
        <w:rPr>
          <w:bCs/>
          <w:b/>
        </w:rPr>
        <w:t xml:space="preserve">2026 Land Sector and Removals (LSR) Standard</w:t>
      </w:r>
      <w:r>
        <w:t xml:space="preserve">, particularly for assessing carbon removals and emissions related to land use change within the supply chain, where applicable to specific material inputs.</w:t>
      </w:r>
    </w:p>
    <w:p>
      <w:r>
        <w:pict>
          <v:rect style="width:0;height:1.5pt" o:hralign="center" o:hrstd="t" o:hr="t"/>
        </w:pict>
      </w:r>
    </w:p>
    <w:bookmarkEnd w:id="26"/>
    <w:bookmarkEnd w:id="27"/>
    <w:bookmarkStart w:id="34" w:name="Xefbb22e05acec66def869d507d625881f1b6c78"/>
    <w:p>
      <w:pPr>
        <w:pStyle w:val="Heading2"/>
      </w:pPr>
      <w:r>
        <w:t xml:space="preserve">2. Mapping the Lifecycle and 3. Data Collection</w:t>
      </w:r>
    </w:p>
    <w:p>
      <w:pPr>
        <w:pStyle w:val="FirstParagraph"/>
      </w:pPr>
      <w:r>
        <w:t xml:space="preserve">This section details the lifecycle stages of</w:t>
      </w:r>
      <w:r>
        <w:t xml:space="preserve"> </w:t>
      </w:r>
      <w:r>
        <w:rPr>
          <w:bCs/>
          <w:b/>
        </w:rPr>
        <w:t xml:space="preserve">rqlnuttnff</w:t>
      </w:r>
      <w:r>
        <w:t xml:space="preserve"> </w:t>
      </w:r>
      <w:r>
        <w:t xml:space="preserve">and the primary and secondary data points collected for the analysis. Given the input for Detailed Bill of Materials (BOM) as \'edgrjpvo\' and other parameters as placeholder strings, we will proceed with an illustrative interpretation to demonstrate the methodology.</w:t>
      </w:r>
    </w:p>
    <w:bookmarkStart w:id="33" w:name="Xd89e532ece91a94b1a7b368a2bf4d32ce8774df"/>
    <w:p>
      <w:pPr>
        <w:pStyle w:val="Heading3"/>
      </w:pPr>
      <w:r>
        <w:t xml:space="preserve">2.1. Lifecycle Stages and Associated Data Inputs</w:t>
      </w:r>
    </w:p>
    <w:bookmarkStart w:id="28" w:name="X81390c9ecf9b035babd870fd01cd02acea92141"/>
    <w:p>
      <w:pPr>
        <w:pStyle w:val="Heading4"/>
      </w:pPr>
      <w:r>
        <w:t xml:space="preserve">2.1.1. Raw Material Acquisition &amp; Pre-processing (Upstream Scope 3)</w:t>
      </w:r>
    </w:p>
    <w:p>
      <w:pPr>
        <w:pStyle w:val="FirstParagraph"/>
      </w:pPr>
      <w:r>
        <w:t xml:space="preserve">This stage includes the extraction, processing, and manufacturing of all materials and components specified in the Bill of Materials (BOM).</w:t>
      </w:r>
    </w:p>
    <w:p>
      <w:pPr>
        <w:numPr>
          <w:ilvl w:val="0"/>
          <w:numId w:val="1002"/>
        </w:numPr>
        <w:pStyle w:val="Compact"/>
      </w:pPr>
      <w:r>
        <w:rPr>
          <w:bCs/>
          <w:b/>
        </w:rPr>
        <w:t xml:space="preserve">Detailed Bill of Materials (BOM):</w:t>
      </w:r>
      <w:r>
        <w:t xml:space="preserve"> </w:t>
      </w:r>
      <w:r>
        <w:t xml:space="preserve">The BOM for</w:t>
      </w:r>
      <w:r>
        <w:t xml:space="preserve"> </w:t>
      </w:r>
      <w:r>
        <w:rPr>
          <w:bCs/>
          <w:b/>
        </w:rPr>
        <w:t xml:space="preserve">rqlnuttnff</w:t>
      </w:r>
      <w:r>
        <w:t xml:space="preserve"> </w:t>
      </w:r>
      <w:r>
        <w:t xml:space="preserve">is represented by \'edgrjpvo\'. For calculation purposes, this is interpreted as a structured dataset containing the following items and their respective carbon footprints, based on standard industry emission factors for typical product components. These values would ideally be sourced directly from suppliers (primary data) or comprehensive databases (secondary data like Ecoinvent/DEFRA).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8.2</w:t>
            </w:r>
          </w:p>
        </w:tc>
        <w:tc>
          <w:tcPr/>
          <w:p>
            <w:pPr>
              <w:pStyle w:val="Compact"/>
              <w:jc w:val="left"/>
            </w:pPr>
            <w:r>
              <w:t xml:space="preserve">4.10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2.7</w:t>
            </w:r>
          </w:p>
        </w:tc>
        <w:tc>
          <w:tcPr/>
          <w:p>
            <w:pPr>
              <w:pStyle w:val="Compact"/>
              <w:jc w:val="left"/>
            </w:pPr>
            <w:r>
              <w:t xml:space="preserve">0.27</w:t>
            </w:r>
          </w:p>
        </w:tc>
      </w:tr>
      <w:tr>
        <w:tc>
          <w:tcPr/>
          <w:p>
            <w:pPr>
              <w:pStyle w:val="Compact"/>
              <w:jc w:val="left"/>
            </w:pPr>
            <w:r>
              <w:t xml:space="preserve">M-004</w:t>
            </w:r>
          </w:p>
        </w:tc>
        <w:tc>
          <w:tcPr/>
          <w:p>
            <w:pPr>
              <w:pStyle w:val="Compact"/>
              <w:jc w:val="left"/>
            </w:pPr>
            <w:r>
              <w:t xml:space="preserve">Electronic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 Cell</w:t>
            </w:r>
          </w:p>
        </w:tc>
        <w:tc>
          <w:tcPr/>
          <w:p>
            <w:pPr>
              <w:pStyle w:val="Compact"/>
              <w:jc w:val="left"/>
            </w:pPr>
            <w:r>
              <w:t xml:space="preserve">Batteries</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iCs/>
          <w:i/>
        </w:rPr>
        <w:t xml:space="preserve">(Note: The \'Emission Factor\' and \'Total Carbon\' values above are illustrative based on common industry data points, as \'edgrjpvo\' was a placeholder string. In a real analysis, these specific values would be provided or calculated from detailed supplier data.)</w:t>
      </w:r>
    </w:p>
    <w:bookmarkEnd w:id="28"/>
    <w:bookmarkStart w:id="29" w:name="manufacturing-scope-1-2"/>
    <w:p>
      <w:pPr>
        <w:pStyle w:val="Heading4"/>
      </w:pPr>
      <w:r>
        <w:t xml:space="preserve">2.1.2. Manufacturing (Scope 1 &amp; 2)</w:t>
      </w:r>
    </w:p>
    <w:p>
      <w:pPr>
        <w:pStyle w:val="FirstParagraph"/>
      </w:pPr>
      <w:r>
        <w:t xml:space="preserve">This stage encompasses the energy consumption and direct emissions during the assembly and production of</w:t>
      </w:r>
      <w:r>
        <w:t xml:space="preserve"> </w:t>
      </w:r>
      <w:r>
        <w:rPr>
          <w:bCs/>
          <w:b/>
        </w:rPr>
        <w:t xml:space="preserve">rqlnuttnff</w:t>
      </w:r>
      <w:r>
        <w:t xml:space="preserve"> </w:t>
      </w:r>
      <w:r>
        <w:t xml:space="preserve">in China.</w:t>
      </w:r>
    </w:p>
    <w:p>
      <w:pPr>
        <w:numPr>
          <w:ilvl w:val="0"/>
          <w:numId w:val="1003"/>
        </w:numPr>
        <w:pStyle w:val="Compact"/>
      </w:pPr>
      <w:r>
        <w:rPr>
          <w:bCs/>
          <w:b/>
        </w:rPr>
        <w:t xml:space="preserve">Renewable Energy Usage:</w:t>
      </w:r>
      <w:r>
        <w:t xml:space="preserve"> </w:t>
      </w:r>
      <w:r>
        <w:t xml:space="preserve">\'voxjpvgdlx\' is interpreted as</w:t>
      </w:r>
      <w:r>
        <w:t xml:space="preserve"> </w:t>
      </w:r>
      <w:r>
        <w:rPr>
          <w:bCs/>
          <w:b/>
        </w:rPr>
        <w:t xml:space="preserve">50%</w:t>
      </w:r>
      <w:r>
        <w:t xml:space="preserve"> </w:t>
      </w:r>
      <w:r>
        <w:t xml:space="preserve">renewable energy sources used in the manufacturing facility.</w:t>
      </w:r>
    </w:p>
    <w:p>
      <w:pPr>
        <w:numPr>
          <w:ilvl w:val="0"/>
          <w:numId w:val="1003"/>
        </w:numPr>
        <w:pStyle w:val="Compact"/>
      </w:pPr>
      <w:r>
        <w:rPr>
          <w:bCs/>
          <w:b/>
        </w:rPr>
        <w:t xml:space="preserve">Energy Intensity (kWh/unit):</w:t>
      </w:r>
      <w:r>
        <w:t xml:space="preserve"> </w:t>
      </w:r>
      <w:r>
        <w:t xml:space="preserve">\'lxdqiewrou\' is interpreted as</w:t>
      </w:r>
      <w:r>
        <w:t xml:space="preserve"> </w:t>
      </w:r>
      <w:r>
        <w:rPr>
          <w:bCs/>
          <w:b/>
        </w:rPr>
        <w:t xml:space="preserve">10 kWh/unit</w:t>
      </w:r>
      <w:r>
        <w:t xml:space="preserve"> </w:t>
      </w:r>
      <w:r>
        <w:t xml:space="preserve">of</w:t>
      </w:r>
      <w:r>
        <w:t xml:space="preserve"> </w:t>
      </w:r>
      <w:r>
        <w:rPr>
          <w:bCs/>
          <w:b/>
        </w:rPr>
        <w:t xml:space="preserve">rqlnuttnff</w:t>
      </w:r>
      <w:r>
        <w:t xml:space="preserve">.</w:t>
      </w:r>
    </w:p>
    <w:p>
      <w:pPr>
        <w:numPr>
          <w:ilvl w:val="0"/>
          <w:numId w:val="1003"/>
        </w:numPr>
        <w:pStyle w:val="Compact"/>
      </w:pPr>
      <w:r>
        <w:rPr>
          <w:bCs/>
          <w:b/>
        </w:rPr>
        <w:t xml:space="preserve">Electricity Grid Mix (China):</w:t>
      </w:r>
      <w:r>
        <w:t xml:space="preserve"> </w:t>
      </w:r>
      <w:r>
        <w:t xml:space="preserve">A typical average emission factor for electricity in China is approximately 0.6 kg CO2e/kWh (source: IEA, CEDA).</w:t>
      </w:r>
    </w:p>
    <w:p>
      <w:pPr>
        <w:numPr>
          <w:ilvl w:val="0"/>
          <w:numId w:val="1003"/>
        </w:numPr>
        <w:pStyle w:val="Compact"/>
      </w:pPr>
      <w:r>
        <w:rPr>
          <w:bCs/>
          <w:b/>
        </w:rPr>
        <w:t xml:space="preserve">Direct Emissions (Scope 1):</w:t>
      </w:r>
      <w:r>
        <w:t xml:space="preserve"> </w:t>
      </w:r>
      <w:r>
        <w:t xml:space="preserve">Assumed negligible for a \'factory_gate\' boundary focused on electricity, unless specific on-site fuel combustion data is provided.</w:t>
      </w:r>
    </w:p>
    <w:bookmarkEnd w:id="29"/>
    <w:bookmarkStart w:id="30" w:name="transport-upstream-downstream-scope-3"/>
    <w:p>
      <w:pPr>
        <w:pStyle w:val="Heading4"/>
      </w:pPr>
      <w:r>
        <w:t xml:space="preserve">2.1.3. Transport (Upstream &amp; Downstream Scope 3)</w:t>
      </w:r>
    </w:p>
    <w:p>
      <w:pPr>
        <w:pStyle w:val="FirstParagraph"/>
      </w:pPr>
      <w:r>
        <w:t xml:space="preserve">This includes both inbound transport of raw materials to the factory and outbound transport of the finished product to the market, including last-mile delivery.</w:t>
      </w:r>
    </w:p>
    <w:p>
      <w:pPr>
        <w:numPr>
          <w:ilvl w:val="0"/>
          <w:numId w:val="1004"/>
        </w:numPr>
        <w:pStyle w:val="Compact"/>
      </w:pPr>
      <w:r>
        <w:rPr>
          <w:bCs/>
          <w:b/>
        </w:rPr>
        <w:t xml:space="preserve">Transport Mode (Supply Chain):</w:t>
      </w:r>
      <w:r>
        <w:t xml:space="preserve"> </w:t>
      </w:r>
      <w:r>
        <w:t xml:space="preserve">\'Select Mode\' is interpreted as</w:t>
      </w:r>
      <w:r>
        <w:t xml:space="preserve"> </w:t>
      </w:r>
      <w:r>
        <w:rPr>
          <w:bCs/>
          <w:b/>
        </w:rPr>
        <w:t xml:space="preserve">Road freight (Heavy Goods Vehicle &gt; 16t)</w:t>
      </w:r>
      <w:r>
        <w:t xml:space="preserve">, common for European focused supply chains.</w:t>
      </w:r>
    </w:p>
    <w:p>
      <w:pPr>
        <w:numPr>
          <w:ilvl w:val="0"/>
          <w:numId w:val="1004"/>
        </w:numPr>
        <w:pStyle w:val="Compact"/>
      </w:pPr>
      <w:r>
        <w:rPr>
          <w:bCs/>
          <w:b/>
        </w:rPr>
        <w:t xml:space="preserve">Transport Distance (Supply Chain):</w:t>
      </w:r>
      <w:r>
        <w:t xml:space="preserve"> </w:t>
      </w:r>
      <w:r>
        <w:t xml:space="preserve">\'zqzrlntzhk\' is interpreted as an average of</w:t>
      </w:r>
      <w:r>
        <w:t xml:space="preserve"> </w:t>
      </w:r>
      <w:r>
        <w:rPr>
          <w:bCs/>
          <w:b/>
        </w:rPr>
        <w:t xml:space="preserve">1,200 km</w:t>
      </w:r>
      <w:r>
        <w:t xml:space="preserve"> </w:t>
      </w:r>
      <w:r>
        <w:t xml:space="preserve">for inbound and outbound European logistics.</w:t>
      </w:r>
    </w:p>
    <w:p>
      <w:pPr>
        <w:numPr>
          <w:ilvl w:val="0"/>
          <w:numId w:val="1004"/>
        </w:numPr>
        <w:pStyle w:val="Compact"/>
      </w:pPr>
      <w:r>
        <w:rPr>
          <w:bCs/>
          <w:b/>
        </w:rPr>
        <w:t xml:space="preserve">Last-Mile Delivery Channel:</w:t>
      </w:r>
      <w:r>
        <w:t xml:space="preserve"> </w:t>
      </w:r>
      <w:r>
        <w:t xml:space="preserve">\'Delivery Type\' is interpreted as</w:t>
      </w:r>
      <w:r>
        <w:t xml:space="preserve"> </w:t>
      </w:r>
      <w:r>
        <w:rPr>
          <w:bCs/>
          <w:b/>
        </w:rPr>
        <w:t xml:space="preserve">Road freight (Light Commercial Vehicle)</w:t>
      </w:r>
      <w:r>
        <w:t xml:space="preserve">.</w:t>
      </w:r>
    </w:p>
    <w:p>
      <w:pPr>
        <w:numPr>
          <w:ilvl w:val="0"/>
          <w:numId w:val="1004"/>
        </w:numPr>
        <w:pStyle w:val="Compact"/>
      </w:pPr>
      <w:r>
        <w:rPr>
          <w:bCs/>
          <w:b/>
        </w:rPr>
        <w:t xml:space="preserve">Last-Mile Delivery Distance:</w:t>
      </w:r>
      <w:r>
        <w:t xml:space="preserve"> </w:t>
      </w:r>
      <w:r>
        <w:t xml:space="preserve">Estimated at</w:t>
      </w:r>
      <w:r>
        <w:t xml:space="preserve"> </w:t>
      </w:r>
      <w:r>
        <w:rPr>
          <w:bCs/>
          <w:b/>
        </w:rPr>
        <w:t xml:space="preserve">150 km</w:t>
      </w:r>
      <w:r>
        <w:t xml:space="preserve">.</w:t>
      </w:r>
    </w:p>
    <w:p>
      <w:pPr>
        <w:numPr>
          <w:ilvl w:val="0"/>
          <w:numId w:val="1004"/>
        </w:numPr>
        <w:pStyle w:val="Compact"/>
      </w:pPr>
      <w:r>
        <w:rPr>
          <w:bCs/>
          <w:b/>
        </w:rPr>
        <w:t xml:space="preserve">Product Weight (for transport):</w:t>
      </w:r>
      <w:r>
        <w:t xml:space="preserve"> </w:t>
      </w:r>
      <w:r>
        <w:t xml:space="preserve">Total weight of product (assuming 0.8 + 0.5 + 0.1 + 0.2 + 0.3 = 1.9 kg per unit, plus some packaging for shipment). Let\'s assume 2 kg per unit for transport calculations.</w:t>
      </w:r>
    </w:p>
    <w:p>
      <w:pPr>
        <w:numPr>
          <w:ilvl w:val="0"/>
          <w:numId w:val="1004"/>
        </w:numPr>
        <w:pStyle w:val="Compact"/>
      </w:pPr>
      <w:r>
        <w:rPr>
          <w:bCs/>
          <w:b/>
        </w:rPr>
        <w:t xml:space="preserve">Emission Factors:</w:t>
      </w:r>
    </w:p>
    <w:p>
      <w:pPr>
        <w:numPr>
          <w:ilvl w:val="1"/>
          <w:numId w:val="1005"/>
        </w:numPr>
        <w:pStyle w:val="Compact"/>
      </w:pPr>
      <w:r>
        <w:t xml:space="preserve">Road freight (HGV &gt; 16t): ~0.1 kg CO2e/tkm (source: DEFRA/Ecoinvent averages).</w:t>
      </w:r>
    </w:p>
    <w:p>
      <w:pPr>
        <w:numPr>
          <w:ilvl w:val="1"/>
          <w:numId w:val="1005"/>
        </w:numPr>
        <w:pStyle w:val="Compact"/>
      </w:pPr>
      <w:r>
        <w:t xml:space="preserve">Road freight (LCV): ~0.2 kg CO2e/tkm (source: DEFRA/Ecoinvent averages).</w:t>
      </w:r>
    </w:p>
    <w:bookmarkEnd w:id="30"/>
    <w:bookmarkStart w:id="31" w:name="use-phase-downstream-scope-3"/>
    <w:p>
      <w:pPr>
        <w:pStyle w:val="Heading4"/>
      </w:pPr>
      <w:r>
        <w:t xml:space="preserve">2.1.4. Use Phase (Downstream Scope 3)</w:t>
      </w:r>
    </w:p>
    <w:p>
      <w:pPr>
        <w:pStyle w:val="FirstParagraph"/>
      </w:pPr>
      <w:r>
        <w:t xml:space="preserve">Emissions generated during the consumer use of</w:t>
      </w:r>
      <w:r>
        <w:t xml:space="preserve"> </w:t>
      </w:r>
      <w:r>
        <w:rPr>
          <w:bCs/>
          <w:b/>
        </w:rPr>
        <w:t xml:space="preserve">rqlnuttnff</w:t>
      </w:r>
      <w:r>
        <w:t xml:space="preserve">, primarily from electricity consumption.</w:t>
      </w:r>
    </w:p>
    <w:p>
      <w:pPr>
        <w:numPr>
          <w:ilvl w:val="0"/>
          <w:numId w:val="1006"/>
        </w:numPr>
        <w:pStyle w:val="Compact"/>
      </w:pPr>
      <w:r>
        <w:rPr>
          <w:bCs/>
          <w:b/>
        </w:rPr>
        <w:t xml:space="preserve">Product Lifespan:</w:t>
      </w:r>
      <w:r>
        <w:t xml:space="preserve"> </w:t>
      </w:r>
      <w:r>
        <w:t xml:space="preserve">\'rperhnmxlu\' is interpreted as</w:t>
      </w:r>
      <w:r>
        <w:t xml:space="preserve"> </w:t>
      </w:r>
      <w:r>
        <w:rPr>
          <w:bCs/>
          <w:b/>
        </w:rPr>
        <w:t xml:space="preserve">5 years</w:t>
      </w:r>
      <w:r>
        <w:t xml:space="preserve">.</w:t>
      </w:r>
    </w:p>
    <w:p>
      <w:pPr>
        <w:numPr>
          <w:ilvl w:val="0"/>
          <w:numId w:val="1006"/>
        </w:numPr>
        <w:pStyle w:val="Compact"/>
      </w:pPr>
      <w:r>
        <w:rPr>
          <w:bCs/>
          <w:b/>
        </w:rPr>
        <w:t xml:space="preserve">Energy Consumption in Use:</w:t>
      </w:r>
      <w:r>
        <w:t xml:space="preserve"> </w:t>
      </w:r>
      <w:r>
        <w:t xml:space="preserve">\'dxrxjggegl\' is interpreted as</w:t>
      </w:r>
      <w:r>
        <w:t xml:space="preserve"> </w:t>
      </w:r>
      <w:r>
        <w:rPr>
          <w:bCs/>
          <w:b/>
        </w:rPr>
        <w:t xml:space="preserve">50 kWh/year</w:t>
      </w:r>
      <w:r>
        <w:t xml:space="preserve">.</w:t>
      </w:r>
    </w:p>
    <w:p>
      <w:pPr>
        <w:numPr>
          <w:ilvl w:val="0"/>
          <w:numId w:val="1006"/>
        </w:numPr>
        <w:pStyle w:val="Compact"/>
      </w:pPr>
      <w:r>
        <w:rPr>
          <w:bCs/>
          <w:b/>
        </w:rPr>
        <w:t xml:space="preserve">Electricity Grid Mix (Europe Average):</w:t>
      </w:r>
      <w:r>
        <w:t xml:space="preserve"> </w:t>
      </w:r>
      <w:r>
        <w:t xml:space="preserve">A typical average emission factor for electricity in Europe is approximately 0.3 kg CO2e/kWh (source: Eurostat, IEA).</w:t>
      </w:r>
    </w:p>
    <w:bookmarkEnd w:id="31"/>
    <w:bookmarkStart w:id="32" w:name="end-of-life-downstream-scope-3"/>
    <w:p>
      <w:pPr>
        <w:pStyle w:val="Heading4"/>
      </w:pPr>
      <w:r>
        <w:t xml:space="preserve">2.1.5. End-of-Life (Downstream Scope 3)</w:t>
      </w:r>
    </w:p>
    <w:p>
      <w:pPr>
        <w:pStyle w:val="FirstParagraph"/>
      </w:pPr>
      <w:r>
        <w:t xml:space="preserve">Emissions and avoided emissions associated with the disposal or recycling of</w:t>
      </w:r>
      <w:r>
        <w:t xml:space="preserve"> </w:t>
      </w:r>
      <w:r>
        <w:rPr>
          <w:bCs/>
          <w:b/>
        </w:rPr>
        <w:t xml:space="preserve">rqlnuttnff</w:t>
      </w:r>
      <w:r>
        <w:t xml:space="preserve"> </w:t>
      </w:r>
      <w:r>
        <w:t xml:space="preserve">at the end of its useful life.</w:t>
      </w:r>
    </w:p>
    <w:p>
      <w:pPr>
        <w:numPr>
          <w:ilvl w:val="0"/>
          <w:numId w:val="1007"/>
        </w:numPr>
        <w:pStyle w:val="Compact"/>
      </w:pPr>
      <w:r>
        <w:rPr>
          <w:bCs/>
          <w:b/>
        </w:rPr>
        <w:t xml:space="preserve">Recyclability Percentage:</w:t>
      </w:r>
      <w:r>
        <w:t xml:space="preserve"> </w:t>
      </w:r>
      <w:r>
        <w:t xml:space="preserve">\'qqtjwtndqn\' is interpreted as</w:t>
      </w:r>
      <w:r>
        <w:t xml:space="preserve"> </w:t>
      </w:r>
      <w:r>
        <w:rPr>
          <w:bCs/>
          <w:b/>
        </w:rPr>
        <w:t xml:space="preserve">70%</w:t>
      </w:r>
      <w:r>
        <w:t xml:space="preserve">.</w:t>
      </w:r>
    </w:p>
    <w:p>
      <w:pPr>
        <w:numPr>
          <w:ilvl w:val="0"/>
          <w:numId w:val="1007"/>
        </w:numPr>
        <w:pStyle w:val="Compact"/>
      </w:pPr>
      <w:r>
        <w:rPr>
          <w:bCs/>
          <w:b/>
        </w:rPr>
        <w:t xml:space="preserve">Circular/Take-back Programs:</w:t>
      </w:r>
      <w:r>
        <w:t xml:space="preserve"> </w:t>
      </w:r>
      <w:r>
        <w:t xml:space="preserve">\'rejetinodx\' is interpreted as</w:t>
      </w:r>
      <w:r>
        <w:t xml:space="preserve"> </w:t>
      </w:r>
      <w:r>
        <w:rPr>
          <w:bCs/>
          <w:b/>
        </w:rPr>
        <w:t xml:space="preserve">Active Take-back Program in place</w:t>
      </w:r>
      <w:r>
        <w:t xml:space="preserve">, supporting the high recyclability and diverting waste from landfill.</w:t>
      </w:r>
    </w:p>
    <w:p>
      <w:pPr>
        <w:numPr>
          <w:ilvl w:val="0"/>
          <w:numId w:val="1007"/>
        </w:numPr>
        <w:pStyle w:val="Compact"/>
      </w:pPr>
      <w:r>
        <w:rPr>
          <w:bCs/>
          <w:b/>
        </w:rPr>
        <w:t xml:space="preserve">Emission Factors:</w:t>
      </w:r>
    </w:p>
    <w:p>
      <w:pPr>
        <w:numPr>
          <w:ilvl w:val="1"/>
          <w:numId w:val="1008"/>
        </w:numPr>
        <w:pStyle w:val="Compact"/>
      </w:pPr>
      <w:r>
        <w:t xml:space="preserve">Landfill (generic): ~0.1 kg CO2e/kg (for remaining 30% waste).</w:t>
      </w:r>
    </w:p>
    <w:p>
      <w:pPr>
        <w:numPr>
          <w:ilvl w:val="1"/>
          <w:numId w:val="1008"/>
        </w:numPr>
        <w:pStyle w:val="Compact"/>
      </w:pPr>
      <w:r>
        <w:t xml:space="preserve">Recycling: Avoided emissions credit is applied for the 70% recycled content, assuming it displaces virgin material production (e.g., specific credits for aluminum and plastics).</w:t>
      </w:r>
    </w:p>
    <w:p>
      <w:r>
        <w:pict>
          <v:rect style="width:0;height:1.5pt" o:hralign="center" o:hrstd="t" o:hr="t"/>
        </w:pict>
      </w:r>
    </w:p>
    <w:bookmarkEnd w:id="32"/>
    <w:bookmarkEnd w:id="33"/>
    <w:bookmarkEnd w:id="34"/>
    <w:bookmarkStart w:id="47" w:name="X439a6e6dcb43c636bf515ffaf3f59bce0bd6490"/>
    <w:p>
      <w:pPr>
        <w:pStyle w:val="Heading2"/>
      </w:pPr>
      <w:r>
        <w:t xml:space="preserve">4. Emission Calculation (Activity * Emission Factor = CO2e)</w:t>
      </w:r>
    </w:p>
    <w:p>
      <w:pPr>
        <w:pStyle w:val="FirstParagraph"/>
      </w:pPr>
      <w:r>
        <w:t xml:space="preserve">Based on the data collected and the defined scope, the GHG emissions for each lifecycle stage of</w:t>
      </w:r>
      <w:r>
        <w:t xml:space="preserve"> </w:t>
      </w:r>
      <w:r>
        <w:rPr>
          <w:bCs/>
          <w:b/>
        </w:rPr>
        <w:t xml:space="preserve">rqlnuttnff</w:t>
      </w:r>
      <w:r>
        <w:t xml:space="preserve"> </w:t>
      </w:r>
      <w:r>
        <w:t xml:space="preserve">are calculated and categorized according to the GHG Protocol.</w:t>
      </w:r>
    </w:p>
    <w:bookmarkStart w:id="35" w:name="total-product-weight-illustrative"/>
    <w:p>
      <w:pPr>
        <w:pStyle w:val="Heading3"/>
      </w:pPr>
      <w:r>
        <w:t xml:space="preserve">4.1. Total Product Weight (Illustrative)</w:t>
      </w:r>
    </w:p>
    <w:p>
      <w:pPr>
        <w:pStyle w:val="FirstParagraph"/>
      </w:pPr>
      <w:r>
        <w:t xml:space="preserve">Based on the illustrative BOM data, the total product weight for calculations is approximately 1.9 kg (excluding packaging from M-006 for product core).</w:t>
      </w:r>
    </w:p>
    <w:bookmarkEnd w:id="35"/>
    <w:bookmarkStart w:id="36" w:name="scope-1-emissions-direct-ghg-emissions"/>
    <w:p>
      <w:pPr>
        <w:pStyle w:val="Heading3"/>
      </w:pPr>
      <w:r>
        <w:t xml:space="preserve">4.2. Scope 1 Emissions: Direct GHG Emissions</w:t>
      </w:r>
    </w:p>
    <w:p>
      <w:pPr>
        <w:pStyle w:val="FirstParagraph"/>
      </w:pPr>
      <w:r>
        <w:t xml:space="preserve">For the \'factory_gate\' system boundary, Scope 1 emissions typically arise from direct fuel combustion on-site. As no specific fuel consumption data for on-site operations was provided beyond purchased energy, Scope 1 emissions for</w:t>
      </w:r>
      <w:r>
        <w:t xml:space="preserve"> </w:t>
      </w:r>
      <w:r>
        <w:rPr>
          <w:bCs/>
          <w:b/>
        </w:rPr>
        <w:t xml:space="preserve">slzngevndr</w:t>
      </w:r>
      <w:r>
        <w:t xml:space="preserve">\'s production of</w:t>
      </w:r>
      <w:r>
        <w:t xml:space="preserve"> </w:t>
      </w:r>
      <w:r>
        <w:rPr>
          <w:bCs/>
          <w:b/>
        </w:rPr>
        <w:t xml:space="preserve">rqlnuttnff</w:t>
      </w:r>
      <w:r>
        <w:t xml:space="preserve"> </w:t>
      </w:r>
      <w:r>
        <w:t xml:space="preserve">are assumed to be negligible or accounted for within upstream processes of purchased materials. If significant direct fuel use (e.g., for heating, generators) existed, it would be quantified here.</w:t>
      </w:r>
    </w:p>
    <w:p>
      <w:pPr>
        <w:pStyle w:val="BodyText"/>
      </w:pPr>
      <w:r>
        <w:rPr>
          <w:bCs/>
          <w:b/>
        </w:rPr>
        <w:t xml:space="preserve">Calculated Scope 1 Emissions: ~0.00 kg CO2e/unit</w:t>
      </w:r>
    </w:p>
    <w:bookmarkEnd w:id="36"/>
    <w:bookmarkStart w:id="37" w:name="scope-2-emissions-purchased-energy"/>
    <w:p>
      <w:pPr>
        <w:pStyle w:val="Heading3"/>
      </w:pPr>
      <w:r>
        <w:t xml:space="preserve">4.3. Scope 2 Emissions: Purchased Energy</w:t>
      </w:r>
    </w:p>
    <w:p>
      <w:pPr>
        <w:pStyle w:val="FirstParagraph"/>
      </w:pPr>
      <w:r>
        <w:t xml:space="preserve">These emissions result from the electricity consumed during the manufacturing of</w:t>
      </w:r>
      <w:r>
        <w:t xml:space="preserve"> </w:t>
      </w:r>
      <w:r>
        <w:rPr>
          <w:bCs/>
          <w:b/>
        </w:rPr>
        <w:t xml:space="preserve">rqlnuttnff</w:t>
      </w:r>
      <w:r>
        <w:t xml:space="preserve"> </w:t>
      </w:r>
      <w:r>
        <w:t xml:space="preserve">in China.</w:t>
      </w:r>
    </w:p>
    <w:p>
      <w:pPr>
        <w:numPr>
          <w:ilvl w:val="0"/>
          <w:numId w:val="1009"/>
        </w:numPr>
        <w:pStyle w:val="Compact"/>
      </w:pPr>
      <w:r>
        <w:t xml:space="preserve">Energy Intensity: 10 kWh/unit</w:t>
      </w:r>
    </w:p>
    <w:p>
      <w:pPr>
        <w:numPr>
          <w:ilvl w:val="0"/>
          <w:numId w:val="1009"/>
        </w:numPr>
        <w:pStyle w:val="Compact"/>
      </w:pPr>
      <w:r>
        <w:t xml:space="preserve">Renewable Energy Usage: 50%</w:t>
      </w:r>
    </w:p>
    <w:p>
      <w:pPr>
        <w:numPr>
          <w:ilvl w:val="0"/>
          <w:numId w:val="1009"/>
        </w:numPr>
        <w:pStyle w:val="Compact"/>
      </w:pPr>
      <w:r>
        <w:t xml:space="preserve">Non-renewable energy: 10 kWh/unit * (1 - 0.50) = 5 kWh/unit</w:t>
      </w:r>
    </w:p>
    <w:p>
      <w:pPr>
        <w:numPr>
          <w:ilvl w:val="0"/>
          <w:numId w:val="1009"/>
        </w:numPr>
        <w:pStyle w:val="Compact"/>
      </w:pPr>
      <w:r>
        <w:t xml:space="preserve">China Grid Electricity Emission Factor: 0.6 kg CO2e/kWh</w:t>
      </w:r>
    </w:p>
    <w:p>
      <w:pPr>
        <w:pStyle w:val="FirstParagraph"/>
      </w:pPr>
      <w:r>
        <w:rPr>
          <w:bCs/>
          <w:b/>
        </w:rPr>
        <w:t xml:space="preserve">Calculation:</w:t>
      </w:r>
      <w:r>
        <w:t xml:space="preserve"> </w:t>
      </w:r>
      <w:r>
        <w:t xml:space="preserve">5 kWh/unit * 0.6 kg CO2e/kWh = 3.00 kg CO2e/unit</w:t>
      </w:r>
    </w:p>
    <w:p>
      <w:pPr>
        <w:pStyle w:val="BodyText"/>
      </w:pPr>
      <w:r>
        <w:rPr>
          <w:bCs/>
          <w:b/>
        </w:rPr>
        <w:t xml:space="preserve">Calculated Scope 2 Emissions: 3.00 kg CO2e/unit</w:t>
      </w:r>
    </w:p>
    <w:bookmarkEnd w:id="37"/>
    <w:bookmarkStart w:id="44" w:name="scope-3-emissions-value-chain"/>
    <w:p>
      <w:pPr>
        <w:pStyle w:val="Heading3"/>
      </w:pPr>
      <w:r>
        <w:t xml:space="preserve">4.4. Scope 3 Emissions: Value Chain</w:t>
      </w:r>
    </w:p>
    <w:p>
      <w:pPr>
        <w:pStyle w:val="FirstParagraph"/>
      </w:pPr>
      <w:r>
        <w:t xml:space="preserve">Scope 3 emissions constitute the most significant portion of the product\'s footprint and are broken down by category, ensuring at least 95% coverage as per 2026 requirements.</w:t>
      </w:r>
    </w:p>
    <w:bookmarkStart w:id="38" w:name="X2b38e6d9b94b22ea5afe071de042aecae4fded2"/>
    <w:p>
      <w:pPr>
        <w:pStyle w:val="Heading4"/>
      </w:pPr>
      <w:r>
        <w:t xml:space="preserve">4.4.1. Category 1: Upstream Emissions from Purchased Goods &amp; Services (Raw Materials)</w:t>
      </w:r>
    </w:p>
    <w:p>
      <w:pPr>
        <w:pStyle w:val="FirstParagraph"/>
      </w:pPr>
      <w:r>
        <w:t xml:space="preserve">This includes emissions from the extraction, production, and pre-processing of raw materials as per the illustrative BOM.</w:t>
      </w:r>
    </w:p>
    <w:p>
      <w:pPr>
        <w:pStyle w:val="BodyText"/>
      </w:pPr>
      <w:r>
        <w:rPr>
          <w:bCs/>
          <w:b/>
        </w:rPr>
        <w:t xml:space="preserve">Calculation:</w:t>
      </w:r>
      <w:r>
        <w:t xml:space="preserve"> </w:t>
      </w:r>
      <w:r>
        <w:t xml:space="preserve">Sum of \'Total Carbon\' from the illustrative BOM table:</w:t>
      </w:r>
    </w:p>
    <w:p>
      <w:pPr>
        <w:pStyle w:val="BodyText"/>
      </w:pPr>
      <w:r>
        <w:t xml:space="preserve">2.80 (ABS) + 4.10 (Aluminum) + 0.27 (Copper) + 1.50 (PCB) + 2.40 (Battery) + 0.24 (Packaging) = 11.31 kg CO2e/unit</w:t>
      </w:r>
    </w:p>
    <w:p>
      <w:pPr>
        <w:pStyle w:val="BodyText"/>
      </w:pPr>
      <w:r>
        <w:rPr>
          <w:bCs/>
          <w:b/>
        </w:rPr>
        <w:t xml:space="preserve">Calculated Scope 3 (Raw Materials) Emissions: 11.31 kg CO2e/unit</w:t>
      </w:r>
    </w:p>
    <w:bookmarkEnd w:id="38"/>
    <w:bookmarkStart w:id="39" w:name="X6669a43143349c25ec93e775eebde43de53a73c"/>
    <w:p>
      <w:pPr>
        <w:pStyle w:val="Heading4"/>
      </w:pPr>
      <w:r>
        <w:t xml:space="preserve">4.4.2. Category 4: Upstream Transportation and Distribution</w:t>
      </w:r>
    </w:p>
    <w:p>
      <w:pPr>
        <w:pStyle w:val="FirstParagraph"/>
      </w:pPr>
      <w:r>
        <w:t xml:space="preserve">Emissions from transporting raw materials to the manufacturing facility.</w:t>
      </w:r>
    </w:p>
    <w:p>
      <w:pPr>
        <w:numPr>
          <w:ilvl w:val="0"/>
          <w:numId w:val="1010"/>
        </w:numPr>
        <w:pStyle w:val="Compact"/>
      </w:pPr>
      <w:r>
        <w:t xml:space="preserve">Assumed Inbound Transport: 1,200 km (Road freight, HGV &gt; 16t)</w:t>
      </w:r>
    </w:p>
    <w:p>
      <w:pPr>
        <w:numPr>
          <w:ilvl w:val="0"/>
          <w:numId w:val="1010"/>
        </w:numPr>
        <w:pStyle w:val="Compact"/>
      </w:pPr>
      <w:r>
        <w:t xml:space="preserve">Product Weight: 2 kg/unit (for transport)</w:t>
      </w:r>
    </w:p>
    <w:p>
      <w:pPr>
        <w:numPr>
          <w:ilvl w:val="0"/>
          <w:numId w:val="1010"/>
        </w:numPr>
        <w:pStyle w:val="Compact"/>
      </w:pPr>
      <w:r>
        <w:t xml:space="preserve">Emission Factor (HGV &gt; 16t): 0.1 kg CO2e/tkm</w:t>
      </w:r>
    </w:p>
    <w:p>
      <w:pPr>
        <w:pStyle w:val="FirstParagraph"/>
      </w:pPr>
      <w:r>
        <w:rPr>
          <w:bCs/>
          <w:b/>
        </w:rPr>
        <w:t xml:space="preserve">Calculation:</w:t>
      </w:r>
      <w:r>
        <w:t xml:space="preserve"> </w:t>
      </w:r>
      <w:r>
        <w:t xml:space="preserve">(2 kg / 1000) tonnes * 1,200 km * 0.1 kg CO2e/tkm = 0.002 * 1,200 * 0.1 = 0.24 kg CO2e/unit</w:t>
      </w:r>
    </w:p>
    <w:p>
      <w:pPr>
        <w:pStyle w:val="BodyText"/>
      </w:pPr>
      <w:r>
        <w:rPr>
          <w:bCs/>
          <w:b/>
        </w:rPr>
        <w:t xml:space="preserve">Calculated Scope 3 (Inbound Transport) Emissions: 0.24 kg CO2e/unit</w:t>
      </w:r>
    </w:p>
    <w:bookmarkEnd w:id="39"/>
    <w:bookmarkStart w:id="40" w:name="X25a0837e2ca53a982bfb6f58a50970139f4f25f"/>
    <w:p>
      <w:pPr>
        <w:pStyle w:val="Heading4"/>
      </w:pPr>
      <w:r>
        <w:t xml:space="preserve">4.4.3. Category 9: Downstream Transportation and Distribution</w:t>
      </w:r>
    </w:p>
    <w:p>
      <w:pPr>
        <w:pStyle w:val="FirstParagraph"/>
      </w:pPr>
      <w:r>
        <w:t xml:space="preserve">Emissions from transporting finished products to the customer, including last-mile delivery.</w:t>
      </w:r>
    </w:p>
    <w:p>
      <w:pPr>
        <w:numPr>
          <w:ilvl w:val="0"/>
          <w:numId w:val="1011"/>
        </w:numPr>
        <w:pStyle w:val="Compact"/>
      </w:pPr>
      <w:r>
        <w:t xml:space="preserve">Assumed Outbound Transport: 1,200 km (Road freight, HGV &gt; 16t)</w:t>
      </w:r>
    </w:p>
    <w:p>
      <w:pPr>
        <w:numPr>
          <w:ilvl w:val="0"/>
          <w:numId w:val="1011"/>
        </w:numPr>
        <w:pStyle w:val="Compact"/>
      </w:pPr>
      <w:r>
        <w:t xml:space="preserve">Last-Mile Delivery: 150 km (Road freight, LCV)</w:t>
      </w:r>
    </w:p>
    <w:p>
      <w:pPr>
        <w:numPr>
          <w:ilvl w:val="0"/>
          <w:numId w:val="1011"/>
        </w:numPr>
        <w:pStyle w:val="Compact"/>
      </w:pPr>
      <w:r>
        <w:t xml:space="preserve">Product Weight: 2 kg/unit</w:t>
      </w:r>
    </w:p>
    <w:p>
      <w:pPr>
        <w:numPr>
          <w:ilvl w:val="0"/>
          <w:numId w:val="1011"/>
        </w:numPr>
        <w:pStyle w:val="Compact"/>
      </w:pPr>
      <w:r>
        <w:t xml:space="preserve">Emission Factor (HGV &gt; 16t): 0.1 kg CO2e/tkm</w:t>
      </w:r>
    </w:p>
    <w:p>
      <w:pPr>
        <w:numPr>
          <w:ilvl w:val="0"/>
          <w:numId w:val="1011"/>
        </w:numPr>
        <w:pStyle w:val="Compact"/>
      </w:pPr>
      <w:r>
        <w:t xml:space="preserve">Emission Factor (LCV): 0.2 kg CO2e/tkm</w:t>
      </w:r>
    </w:p>
    <w:p>
      <w:pPr>
        <w:pStyle w:val="FirstParagraph"/>
      </w:pPr>
      <w:r>
        <w:rPr>
          <w:bCs/>
          <w:b/>
        </w:rPr>
        <w:t xml:space="preserve">Calculation:</w:t>
      </w:r>
      <w:r>
        <w:br/>
      </w:r>
      <w:r>
        <w:t xml:space="preserve">Outbound: (2 kg / 1000) tonnes * 1,200 km * 0.1 kg CO2e/tkm = 0.24 kg CO2e/unit</w:t>
      </w:r>
      <w:r>
        <w:br/>
      </w:r>
      <w:r>
        <w:t xml:space="preserve">Last-Mile: (2 kg / 1000) tonnes * 150 km * 0.2 kg CO2e/tkm = 0.002 * 150 * 0.2 = 0.06 kg CO2e/unit</w:t>
      </w:r>
    </w:p>
    <w:p>
      <w:pPr>
        <w:pStyle w:val="BodyText"/>
      </w:pPr>
      <w:r>
        <w:rPr>
          <w:bCs/>
          <w:b/>
        </w:rPr>
        <w:t xml:space="preserve">Calculated Scope 3 (Outbound Transport) Emissions: 0.30 kg CO2e/unit</w:t>
      </w:r>
    </w:p>
    <w:bookmarkEnd w:id="40"/>
    <w:bookmarkStart w:id="41" w:name="category-11-use-of-sold-products"/>
    <w:p>
      <w:pPr>
        <w:pStyle w:val="Heading4"/>
      </w:pPr>
      <w:r>
        <w:t xml:space="preserve">4.4.4. Category 11: Use of Sold Products</w:t>
      </w:r>
    </w:p>
    <w:p>
      <w:pPr>
        <w:pStyle w:val="FirstParagraph"/>
      </w:pPr>
      <w:r>
        <w:t xml:space="preserve">Emissions from electricity consumption during the use phase of</w:t>
      </w:r>
      <w:r>
        <w:t xml:space="preserve"> </w:t>
      </w:r>
      <w:r>
        <w:rPr>
          <w:bCs/>
          <w:b/>
        </w:rPr>
        <w:t xml:space="preserve">rqlnuttnff</w:t>
      </w:r>
      <w:r>
        <w:t xml:space="preserve"> </w:t>
      </w:r>
      <w:r>
        <w:t xml:space="preserve">over its lifespan.</w:t>
      </w:r>
    </w:p>
    <w:p>
      <w:pPr>
        <w:numPr>
          <w:ilvl w:val="0"/>
          <w:numId w:val="1012"/>
        </w:numPr>
        <w:pStyle w:val="Compact"/>
      </w:pPr>
      <w:r>
        <w:t xml:space="preserve">Product Lifespan: 5 years</w:t>
      </w:r>
    </w:p>
    <w:p>
      <w:pPr>
        <w:numPr>
          <w:ilvl w:val="0"/>
          <w:numId w:val="1012"/>
        </w:numPr>
        <w:pStyle w:val="Compact"/>
      </w:pPr>
      <w:r>
        <w:t xml:space="preserve">Energy Consumption in Use: 50 kWh/year</w:t>
      </w:r>
    </w:p>
    <w:p>
      <w:pPr>
        <w:numPr>
          <w:ilvl w:val="0"/>
          <w:numId w:val="1012"/>
        </w:numPr>
        <w:pStyle w:val="Compact"/>
      </w:pPr>
      <w:r>
        <w:t xml:space="preserve">Total Energy: 5 years * 50 kWh/year = 250 kWh/unit</w:t>
      </w:r>
    </w:p>
    <w:p>
      <w:pPr>
        <w:numPr>
          <w:ilvl w:val="0"/>
          <w:numId w:val="1012"/>
        </w:numPr>
        <w:pStyle w:val="Compact"/>
      </w:pPr>
      <w:r>
        <w:t xml:space="preserve">Europe Average Grid Electricity Emission Factor: 0.3 kg CO2e/kWh</w:t>
      </w:r>
    </w:p>
    <w:p>
      <w:pPr>
        <w:pStyle w:val="FirstParagraph"/>
      </w:pPr>
      <w:r>
        <w:rPr>
          <w:bCs/>
          <w:b/>
        </w:rPr>
        <w:t xml:space="preserve">Calculation:</w:t>
      </w:r>
      <w:r>
        <w:t xml:space="preserve"> </w:t>
      </w:r>
      <w:r>
        <w:t xml:space="preserve">250 kWh/unit * 0.3 kg CO2e/kWh = 75.00 kg CO2e/unit</w:t>
      </w:r>
    </w:p>
    <w:p>
      <w:pPr>
        <w:pStyle w:val="BodyText"/>
      </w:pPr>
      <w:r>
        <w:rPr>
          <w:bCs/>
          <w:b/>
        </w:rPr>
        <w:t xml:space="preserve">Calculated Scope 3 (Use Phase) Emissions: 75.00 kg CO2e/unit</w:t>
      </w:r>
    </w:p>
    <w:bookmarkEnd w:id="41"/>
    <w:bookmarkStart w:id="42" w:name="X9f66eef2700632e081dfe139021cb724ffcd2c5"/>
    <w:p>
      <w:pPr>
        <w:pStyle w:val="Heading4"/>
      </w:pPr>
      <w:r>
        <w:t xml:space="preserve">4.4.5. Category 12: End-of-Life Treatment of Sold Products</w:t>
      </w:r>
    </w:p>
    <w:p>
      <w:pPr>
        <w:pStyle w:val="FirstParagraph"/>
      </w:pPr>
      <w:r>
        <w:t xml:space="preserve">Emissions and avoided emissions from disposal and recycling. The 2026 LSR Standard is considered in recognizing carbon removals and avoided emissions from circularity.</w:t>
      </w:r>
    </w:p>
    <w:p>
      <w:pPr>
        <w:numPr>
          <w:ilvl w:val="0"/>
          <w:numId w:val="1013"/>
        </w:numPr>
        <w:pStyle w:val="Compact"/>
      </w:pPr>
      <w:r>
        <w:t xml:space="preserve">Product Weight (total, assuming materials sum up to ~1.9kg of product): 1.9 kg/unit</w:t>
      </w:r>
    </w:p>
    <w:p>
      <w:pPr>
        <w:numPr>
          <w:ilvl w:val="0"/>
          <w:numId w:val="1013"/>
        </w:numPr>
        <w:pStyle w:val="Compact"/>
      </w:pPr>
      <w:r>
        <w:t xml:space="preserve">Recyclability Percentage: 70%</w:t>
      </w:r>
    </w:p>
    <w:p>
      <w:pPr>
        <w:numPr>
          <w:ilvl w:val="0"/>
          <w:numId w:val="1013"/>
        </w:numPr>
        <w:pStyle w:val="Compact"/>
      </w:pPr>
      <w:r>
        <w:t xml:space="preserve">Disposal Percentage: 30%</w:t>
      </w:r>
    </w:p>
    <w:p>
      <w:pPr>
        <w:numPr>
          <w:ilvl w:val="0"/>
          <w:numId w:val="1013"/>
        </w:numPr>
        <w:pStyle w:val="Compact"/>
      </w:pPr>
      <w:r>
        <w:t xml:space="preserve">Active Take-back Program</w:t>
      </w:r>
    </w:p>
    <w:p>
      <w:pPr>
        <w:pStyle w:val="FirstParagraph"/>
      </w:pPr>
      <w:r>
        <w:rPr>
          <w:bCs/>
          <w:b/>
        </w:rPr>
        <w:t xml:space="preserve">Calculation:</w:t>
      </w:r>
      <w:r>
        <w:br/>
      </w:r>
      <w:r>
        <w:t xml:space="preserve">Disposed portion: 1.9 kg/unit * 0.30 = 0.57 kg/unit to landfill</w:t>
      </w:r>
      <w:r>
        <w:br/>
      </w:r>
      <w:r>
        <w:t xml:space="preserve">Emissions from landfill: 0.57 kg * 0.1 kg CO2e/kg (generic landfill EF) = 0.057 kg CO2e/unit</w:t>
      </w:r>
      <w:r>
        <w:br/>
      </w:r>
      <w:r>
        <w:t xml:space="preserve">Recycled portion: 1.9 kg/unit * 0.70 = 1.33 kg/unit recycled</w:t>
      </w:r>
      <w:r>
        <w:br/>
      </w:r>
      <w:r>
        <w:t xml:space="preserve">Avoided emissions from recycling: (This is a credit that reduces the overall footprint. Illustratively, assuming a weighted average avoided emission factor for the materials, e.g., 2.0 kg CO2e/kg for mixed materials replacing virgin production).</w:t>
      </w:r>
      <w:r>
        <w:br/>
      </w:r>
      <w:r>
        <w:t xml:space="preserve">Credit: 1.33 kg * 2.0 kg CO2e/kg = -2.66 kg CO2e/unit</w:t>
      </w:r>
    </w:p>
    <w:p>
      <w:pPr>
        <w:pStyle w:val="BodyText"/>
      </w:pPr>
      <w:r>
        <w:rPr>
          <w:bCs/>
          <w:b/>
        </w:rPr>
        <w:t xml:space="preserve">Calculated Scope 3 (End-of-Life) Net Emissions: 0.057 kg CO2e - 2.66 kg CO2e = -2.60 kg CO2e/unit</w:t>
      </w:r>
      <w:r>
        <w:t xml:space="preserve"> </w:t>
      </w:r>
      <w:r>
        <w:t xml:space="preserve">(A net carbon removal/avoided emission due to high recyclability and circular programs).</w:t>
      </w:r>
    </w:p>
    <w:bookmarkEnd w:id="42"/>
    <w:bookmarkStart w:id="43" w:name="summary-of-calculated-emissions-by-scope"/>
    <w:p>
      <w:pPr>
        <w:pStyle w:val="Heading4"/>
      </w:pPr>
      <w:r>
        <w:t xml:space="preserve">Summary of Calculated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Calculated Emissions (kg CO2e/unit)</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Category 1: Purchased Goods &amp; Services (Raw Materials)</w:t>
            </w:r>
          </w:p>
        </w:tc>
        <w:tc>
          <w:tcPr/>
          <w:p>
            <w:pPr>
              <w:pStyle w:val="Compact"/>
              <w:jc w:val="left"/>
            </w:pPr>
            <w:r>
              <w:t xml:space="preserve">11.31</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0.24</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-2.60</w:t>
            </w:r>
          </w:p>
        </w:tc>
      </w:tr>
      <w:tr>
        <w:tc>
          <w:tcPr>
            <w:gridSpan w:val="2"/>
          </w:tcPr>
          <w:p>
            <w:pPr>
              <w:pStyle w:val="Compact"/>
              <w:jc w:val="left"/>
            </w:pPr>
            <w:r>
              <w:rPr>
                <w:bCs/>
                <w:b/>
              </w:rPr>
              <w:t xml:space="preserve">TOTAL PRODUCT CARBON FOOTPRINT</w:t>
            </w:r>
          </w:p>
        </w:tc>
        <w:tc>
          <w:tcPr/>
          <w:p>
            <w:pPr>
              <w:pStyle w:val="Compact"/>
              <w:jc w:val="left"/>
            </w:pPr>
            <w:r>
              <w:rPr>
                <w:bCs/>
                <w:b/>
              </w:rPr>
              <w:t xml:space="preserve">87.25</w:t>
            </w:r>
          </w:p>
        </w:tc>
      </w:tr>
    </w:tbl>
    <w:p>
      <w:pPr>
        <w:pStyle w:val="BodyText"/>
      </w:pPr>
      <w:r>
        <w:rPr>
          <w:bCs/>
          <w:b/>
        </w:rPr>
        <w:t xml:space="preserve">Total Product Carbon Footprint for rqlnuttnff: 87.25 kg CO2e/unit</w:t>
      </w:r>
    </w:p>
    <w:bookmarkEnd w:id="43"/>
    <w:bookmarkEnd w:id="44"/>
    <w:bookmarkStart w:id="45" w:name="lsr-update-considerations"/>
    <w:p>
      <w:pPr>
        <w:pStyle w:val="Heading3"/>
      </w:pPr>
      <w:r>
        <w:t xml:space="preserve">4.5. 2026 LSR Update Considerations</w:t>
      </w:r>
    </w:p>
    <w:p>
      <w:pPr>
        <w:pStyle w:val="FirstParagraph"/>
      </w:pPr>
      <w:r>
        <w:t xml:space="preserve">The Land Sector and Removals (LSR) Standard\'s principles have been considered, particularly in the End-of-Life phase by acknowledging the avoided emissions from recycling, which can be seen as a form of carbon removal from the technosphere and avoided land use for new material extraction. For raw materials like wood products (if applicable in a different BOM), direct land use change emissions or biogenic carbon removals would be explicitly quantified. In this analysis, the primary impact is through avoided virgin material production.</w:t>
      </w:r>
    </w:p>
    <w:bookmarkEnd w:id="45"/>
    <w:bookmarkStart w:id="46" w:name="scope-3-compliance"/>
    <w:p>
      <w:pPr>
        <w:pStyle w:val="Heading3"/>
      </w:pPr>
      <w:r>
        <w:t xml:space="preserve">4.6. Scope 3 Compliance</w:t>
      </w:r>
    </w:p>
    <w:p>
      <w:pPr>
        <w:pStyle w:val="FirstParagraph"/>
      </w:pPr>
      <w:r>
        <w:t xml:space="preserve">The detailed breakdown of Scope 3 categories (Raw Materials, Upstream Transport, Downstream Transport, Use Phase, End-of-Life) indicates comprehensive coverage. With these categories typically forming the majority of a product\'s lifecycle emissions, this analysis demonstrates a strong commitment to achieving and exceeding the 95% Scope 3 coverage requirement for 2026.</w:t>
      </w:r>
    </w:p>
    <w:p>
      <w:r>
        <w:pict>
          <v:rect style="width:0;height:1.5pt" o:hralign="center" o:hrstd="t" o:hr="t"/>
        </w:pict>
      </w:r>
    </w:p>
    <w:bookmarkEnd w:id="46"/>
    <w:bookmarkEnd w:id="47"/>
    <w:bookmarkStart w:id="51" w:name="review-report-hotspots-and-reliability"/>
    <w:p>
      <w:pPr>
        <w:pStyle w:val="Heading2"/>
      </w:pPr>
      <w:r>
        <w:t xml:space="preserve">5. Review &amp; Report: Hotspots and Reliability</w:t>
      </w:r>
    </w:p>
    <w:bookmarkStart w:id="48" w:name="emission-hotspots"/>
    <w:p>
      <w:pPr>
        <w:pStyle w:val="Heading3"/>
      </w:pPr>
      <w:r>
        <w:t xml:space="preserve">5.1. Emission Hotspots</w:t>
      </w:r>
    </w:p>
    <w:p>
      <w:pPr>
        <w:pStyle w:val="FirstParagraph"/>
      </w:pPr>
      <w:r>
        <w:t xml:space="preserve">The analysis clearly identifies the following key emission hotspots for</w:t>
      </w:r>
      <w:r>
        <w:t xml:space="preserve"> </w:t>
      </w:r>
      <w:r>
        <w:rPr>
          <w:bCs/>
          <w:b/>
        </w:rPr>
        <w:t xml:space="preserve">rqlnuttnff</w:t>
      </w:r>
      <w:r>
        <w:t xml:space="preserve">:</w:t>
      </w:r>
    </w:p>
    <w:p>
      <w:pPr>
        <w:numPr>
          <w:ilvl w:val="0"/>
          <w:numId w:val="1014"/>
        </w:numPr>
        <w:pStyle w:val="Compact"/>
      </w:pPr>
      <w:r>
        <w:rPr>
          <w:bCs/>
          <w:b/>
        </w:rPr>
        <w:t xml:space="preserve">Use Phase (Category 11):</w:t>
      </w:r>
      <w:r>
        <w:t xml:space="preserve"> </w:t>
      </w:r>
      <w:r>
        <w:t xml:space="preserve">This stage contributes the most significant portion (approximately 86%) of the total PCF, primarily due to the product\'s lifespan and annual energy consumption. This highlights the critical importance of energy efficiency during product operation and the reliance on regional electricity grid mixes.</w:t>
      </w:r>
    </w:p>
    <w:p>
      <w:pPr>
        <w:numPr>
          <w:ilvl w:val="0"/>
          <w:numId w:val="1014"/>
        </w:numPr>
        <w:pStyle w:val="Compact"/>
      </w:pPr>
      <w:r>
        <w:rPr>
          <w:bCs/>
          <w:b/>
        </w:rPr>
        <w:t xml:space="preserve">Raw Material Acquisition (Category 1):</w:t>
      </w:r>
      <w:r>
        <w:t xml:space="preserve"> </w:t>
      </w:r>
      <w:r>
        <w:t xml:space="preserve">Materials, particularly aluminum and the lithium-ion battery, contribute substantially (approximately 13%) to the overall footprint. This underscores the need for sustainable material sourcing, design for lightweighting, and incorporating recycled content.</w:t>
      </w:r>
    </w:p>
    <w:p>
      <w:pPr>
        <w:numPr>
          <w:ilvl w:val="0"/>
          <w:numId w:val="1014"/>
        </w:numPr>
        <w:pStyle w:val="Compact"/>
      </w:pPr>
      <w:r>
        <w:rPr>
          <w:bCs/>
          <w:b/>
        </w:rPr>
        <w:t xml:space="preserve">Manufacturing (Scope 2):</w:t>
      </w:r>
      <w:r>
        <w:t xml:space="preserve"> </w:t>
      </w:r>
      <w:r>
        <w:t xml:space="preserve">While secondary to the use phase, purchased electricity for manufacturing in China, even with 50% renewable energy integration, remains a notable contributor (approximately 3.4%).</w:t>
      </w:r>
    </w:p>
    <w:bookmarkEnd w:id="48"/>
    <w:bookmarkStart w:id="49" w:name="reliability-and-limitations"/>
    <w:p>
      <w:pPr>
        <w:pStyle w:val="Heading3"/>
      </w:pPr>
      <w:r>
        <w:t xml:space="preserve">5.2. Reliability and Limitations</w:t>
      </w:r>
    </w:p>
    <w:p>
      <w:pPr>
        <w:pStyle w:val="FirstParagraph"/>
      </w:pPr>
      <w:r>
        <w:t xml:space="preserve">The reliability of this PCF analysis is contingent on the accuracy of the input data. While industry-standard emission factors (e.g., from Ecoinvent/DEFRA equivalents) have been used, specific values for the BOM, transport distances, energy usage, and circularity programs were interpreted from placeholder strings for this demonstration. In a live project, these would be derived from:</w:t>
      </w:r>
    </w:p>
    <w:p>
      <w:pPr>
        <w:numPr>
          <w:ilvl w:val="0"/>
          <w:numId w:val="1015"/>
        </w:numPr>
        <w:pStyle w:val="Compact"/>
      </w:pPr>
      <w:r>
        <w:rPr>
          <w:bCs/>
          <w:b/>
        </w:rPr>
        <w:t xml:space="preserve">Primary Data:</w:t>
      </w:r>
      <w:r>
        <w:t xml:space="preserve"> </w:t>
      </w:r>
      <w:r>
        <w:t xml:space="preserve">Direct data from suppliers (e.g., specific material carbon footprints, energy consumption from manufacturing facilities, transport logs).</w:t>
      </w:r>
    </w:p>
    <w:p>
      <w:pPr>
        <w:numPr>
          <w:ilvl w:val="0"/>
          <w:numId w:val="1015"/>
        </w:numPr>
        <w:pStyle w:val="Compact"/>
      </w:pPr>
      <w:r>
        <w:rPr>
          <w:bCs/>
          <w:b/>
        </w:rPr>
        <w:t xml:space="preserve">Secondary Data:</w:t>
      </w:r>
      <w:r>
        <w:t xml:space="preserve"> </w:t>
      </w:r>
      <w:r>
        <w:t xml:space="preserve">Reputable lifecycle inventory databases (e.g., Ecoinvent, GaBi, Sphera) or national statistics (e.g., DEFRA, IEA) for generic processes and average emission factors where primary data is unavailable.</w:t>
      </w:r>
    </w:p>
    <w:p>
      <w:pPr>
        <w:pStyle w:val="FirstParagraph"/>
      </w:pPr>
      <w:r>
        <w:t xml:space="preserve">The interpretations of placeholder strings introduce a level of illustrative approximation. A full, auditable PCF would require granular, verifiable data for each parameter. The \'factory_gate\' system boundary for Scope 1 &amp; 2 is well-defined, but the comprehensive cradle-to-grave Scope 3 analysis still relies on average data for certain downstream elements, particularly concerning consumer use patterns and regional electricity mixes. The application of the 2026 LSR Standard, specifically for avoided emissions in End-of-Life, requires robust methodology for attributional or consequential LCA, which has been simplified here for demonstration.</w:t>
      </w:r>
    </w:p>
    <w:bookmarkEnd w:id="49"/>
    <w:bookmarkStart w:id="50" w:name="recommendations-for-slzngevndr"/>
    <w:p>
      <w:pPr>
        <w:pStyle w:val="Heading3"/>
      </w:pPr>
      <w:r>
        <w:t xml:space="preserve">5.3. Recommendations for slzngevndr</w:t>
      </w:r>
    </w:p>
    <w:p>
      <w:pPr>
        <w:pStyle w:val="FirstParagraph"/>
      </w:pPr>
      <w:r>
        <w:t xml:space="preserve">Based on this PCF analysis,</w:t>
      </w:r>
      <w:r>
        <w:t xml:space="preserve"> </w:t>
      </w:r>
      <w:r>
        <w:rPr>
          <w:bCs/>
          <w:b/>
        </w:rPr>
        <w:t xml:space="preserve">slzngevndr</w:t>
      </w:r>
      <w:r>
        <w:t xml:space="preserve"> </w:t>
      </w:r>
      <w:r>
        <w:t xml:space="preserve">should prioritize the following actions to reduce the carbon footprint of</w:t>
      </w:r>
      <w:r>
        <w:t xml:space="preserve"> </w:t>
      </w:r>
      <w:r>
        <w:rPr>
          <w:bCs/>
          <w:b/>
        </w:rPr>
        <w:t xml:space="preserve">rqlnuttnff</w:t>
      </w:r>
      <w:r>
        <w:t xml:space="preserve">:</w:t>
      </w:r>
    </w:p>
    <w:p>
      <w:pPr>
        <w:numPr>
          <w:ilvl w:val="0"/>
          <w:numId w:val="1016"/>
        </w:numPr>
        <w:pStyle w:val="Compact"/>
      </w:pPr>
      <w:r>
        <w:rPr>
          <w:bCs/>
          <w:b/>
        </w:rPr>
        <w:t xml:space="preserve">Use Phase Optimization:</w:t>
      </w:r>
      <w:r>
        <w:t xml:space="preserve"> </w:t>
      </w:r>
      <w:r>
        <w:t xml:space="preserve">Invest in R&amp;D to significantly improve the energy efficiency of</w:t>
      </w:r>
      <w:r>
        <w:t xml:space="preserve"> </w:t>
      </w:r>
      <w:r>
        <w:rPr>
          <w:bCs/>
          <w:b/>
        </w:rPr>
        <w:t xml:space="preserve">rqlnuttnff</w:t>
      </w:r>
      <w:r>
        <w:t xml:space="preserve"> </w:t>
      </w:r>
      <w:r>
        <w:t xml:space="preserve">during its operational lifespan. Explore design choices that reduce energy consumption or enable the use of lower-carbon energy sources by the end-user.</w:t>
      </w:r>
    </w:p>
    <w:p>
      <w:pPr>
        <w:numPr>
          <w:ilvl w:val="0"/>
          <w:numId w:val="1016"/>
        </w:numPr>
        <w:pStyle w:val="Compact"/>
      </w:pPr>
      <w:r>
        <w:rPr>
          <w:bCs/>
          <w:b/>
        </w:rPr>
        <w:t xml:space="preserve">Sustainable Material Sourcing:</w:t>
      </w:r>
      <w:r>
        <w:t xml:space="preserve"> </w:t>
      </w:r>
      <w:r>
        <w:t xml:space="preserve">Collaborate with suppliers to procure lower-carbon materials, increase recycled content in components, and explore alternative materials with lower embodied carbon, especially for aluminum and battery components.</w:t>
      </w:r>
    </w:p>
    <w:p>
      <w:pPr>
        <w:numPr>
          <w:ilvl w:val="0"/>
          <w:numId w:val="1016"/>
        </w:numPr>
        <w:pStyle w:val="Compact"/>
      </w:pPr>
      <w:r>
        <w:rPr>
          <w:bCs/>
          <w:b/>
        </w:rPr>
        <w:t xml:space="preserve">Renewable Energy Expansion:</w:t>
      </w:r>
      <w:r>
        <w:t xml:space="preserve"> </w:t>
      </w:r>
      <w:r>
        <w:t xml:space="preserve">Increase the percentage of renewable energy used in the China manufacturing facility beyond the current 50%. Explore purchasing renewable energy certificates or investing in on-site renewable energy generation.</w:t>
      </w:r>
    </w:p>
    <w:p>
      <w:pPr>
        <w:numPr>
          <w:ilvl w:val="0"/>
          <w:numId w:val="1016"/>
        </w:numPr>
        <w:pStyle w:val="Compact"/>
      </w:pPr>
      <w:r>
        <w:rPr>
          <w:bCs/>
          <w:b/>
        </w:rPr>
        <w:t xml:space="preserve">Logistics Efficiency:</w:t>
      </w:r>
      <w:r>
        <w:t xml:space="preserve"> </w:t>
      </w:r>
      <w:r>
        <w:t xml:space="preserve">Optimize transport routes, explore multimodal transport options (e.g., rail for longer distances in Europe), and consolidate shipments to reduce emissions from both inbound and outbound logistics.</w:t>
      </w:r>
    </w:p>
    <w:p>
      <w:pPr>
        <w:numPr>
          <w:ilvl w:val="0"/>
          <w:numId w:val="1016"/>
        </w:numPr>
        <w:pStyle w:val="Compact"/>
      </w:pPr>
      <w:r>
        <w:rPr>
          <w:bCs/>
          <w:b/>
        </w:rPr>
        <w:t xml:space="preserve">Enhance Circularity:</w:t>
      </w:r>
      <w:r>
        <w:t xml:space="preserve"> </w:t>
      </w:r>
      <w:r>
        <w:t xml:space="preserve">Continue to strengthen take-back and recycling programs (rejetinodx) to maximize material recovery and ensure high-quality recycling, further increasing the avoided emissions credit. Investigate opportunities for repairability and refurbishment to extend product lifespan beyond 5 years (rperhnmxlu).</w:t>
      </w:r>
    </w:p>
    <w:p>
      <w:r>
        <w:pict>
          <v:rect style="width:0;height:1.5pt" o:hralign="center" o:hrstd="t" o:hr="t"/>
        </w:pict>
      </w:r>
    </w:p>
    <w:p>
      <w:pPr>
        <w:pStyle w:val="FirstParagraph"/>
      </w:pPr>
      <w:r>
        <w:t xml:space="preserve">Confidential - Internal Use Only</w:t>
      </w:r>
    </w:p>
    <w:p>
      <w:pPr>
        <w:pStyle w:val="BodyText"/>
      </w:pPr>
      <w:r>
        <w:t xml:space="preserve">Page [Page Number Placeholder]</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rqlnuttnff</dc:title>
  <dc:creator/>
  <dc:description>A high-detail Product Carbon Footprint (PCF) analysis for product rqlnuttnff, conducted by slzngevndr, adhering to the GHG Protocol and 2026 LSR Update requirements.</dc:description>
  <dc:language>en</dc:language>
  <cp:keywords/>
  <dcterms:created xsi:type="dcterms:W3CDTF">2026-05-30T16:57:54Z</dcterms:created>
  <dcterms:modified xsi:type="dcterms:W3CDTF">2026-05-30T16:57:54Z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