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rpyyvkdjmw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ynhtpymkqz</w:t>
      </w:r>
    </w:p>
    <w:p>
      <w:pPr>
        <w:pStyle w:val="BodyText"/>
      </w:pPr>
      <w:r>
        <w:rPr>
          <w:bCs/>
          <w:b/>
        </w:rPr>
        <w:t xml:space="preserve">Senior Sustainability Consultant:</w:t>
      </w:r>
      <w:r>
        <w:t xml:space="preserve"> </w:t>
      </w:r>
      <w:r>
        <w:t xml:space="preserve">gxuvxxxjhh</w:t>
      </w:r>
    </w:p>
    <w:p>
      <w:pPr>
        <w:pStyle w:val="BodyText"/>
      </w:pPr>
      <w:r>
        <w:t xml:space="preserve">This report is generated based on available data and industry standards, providing an estimation of the product\'s carbon footprint. The accuracy is dependent on the completeness and reliability of the input parameters and assumed emission factors where primary data was unavailable.</w:t>
      </w:r>
    </w:p>
    <w:bookmarkEnd w:id="20"/>
    <w:bookmarkStart w:id="21" w:name="Xa87d010c1fd868336511b306fbd202996615f12"/>
    <w:p>
      <w:pPr>
        <w:pStyle w:val="Heading2"/>
      </w:pPr>
      <w:r>
        <w:t xml:space="preserve">Product Carbon Footprint Analysis Report</w:t>
      </w:r>
    </w:p>
    <w:p>
      <w:pPr>
        <w:pStyle w:val="FirstParagraph"/>
      </w:pPr>
      <w:r>
        <w:t xml:space="preserve">Generated Date: May 28, 2026</w:t>
      </w:r>
    </w:p>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rpyyvkdjmw</w:t>
      </w:r>
      <w:r>
        <w:t xml:space="preserve">, manufactured by</w:t>
      </w:r>
      <w:r>
        <w:t xml:space="preserve"> </w:t>
      </w:r>
      <w:r>
        <w:rPr>
          <w:bCs/>
          <w:b/>
        </w:rPr>
        <w:t xml:space="preserve">ynhtpymkqz</w:t>
      </w:r>
      <w:r>
        <w:t xml:space="preserve">. Conducted by Senior Sustainability Consultant</w:t>
      </w:r>
      <w:r>
        <w:t xml:space="preserve"> </w:t>
      </w:r>
      <w:r>
        <w:rPr>
          <w:bCs/>
          <w:b/>
        </w:rPr>
        <w:t xml:space="preserve">gxuvxxxjhh</w:t>
      </w:r>
      <w:r>
        <w:t xml:space="preserve">, this analysis adheres to the Greenhouse Gas (GHG) Protocol standards, including the latest 2026 updates concerning the Land Sector and Removals (LSR) Standard and the stringent 95% Scope 3 coverage requirements. The assessment primarily follows a factory_gate system boundary but extends to include the use and end-of-life phases, providing a comprehensive view of the product\'s environmental impact across its lifecycle. Key emission hotspots are identified across material acquisition, manufacturing, transportation, use, and end-of-life stages, offering strategic insights for targeted emission reduction efforts. Notably, the high recyclability of the product leads to significant avoided emissions, resulting in a net negative product carbon footprint.</w:t>
      </w:r>
    </w:p>
    <w:p>
      <w:r>
        <w:pict>
          <v:rect style="width:0;height:1.5pt" o:hralign="center" o:hrstd="t" o:hr="t"/>
        </w:pict>
      </w:r>
    </w:p>
    <w:bookmarkEnd w:id="22"/>
    <w:bookmarkStart w:id="25" w:name="methodology-and-scope-definition"/>
    <w:p>
      <w:pPr>
        <w:pStyle w:val="Heading1"/>
      </w:pPr>
      <w:r>
        <w:t xml:space="preserve">1. Methodology and Scope Definition</w:t>
      </w:r>
    </w:p>
    <w:p>
      <w:pPr>
        <w:pStyle w:val="FirstParagraph"/>
      </w:pPr>
      <w:r>
        <w:t xml:space="preserve">The Product Carbon Footprint (PCF) for</w:t>
      </w:r>
      <w:r>
        <w:t xml:space="preserve"> </w:t>
      </w:r>
      <w:r>
        <w:rPr>
          <w:bCs/>
          <w:b/>
        </w:rPr>
        <w:t xml:space="preserve">rpyyvkdjmw</w:t>
      </w:r>
      <w:r>
        <w:t xml:space="preserve"> </w:t>
      </w:r>
      <w:r>
        <w:t xml:space="preserve">has been calculated following the five-step methodology recommended for comprehensive GHG accounting.</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the product</w:t>
      </w:r>
      <w:r>
        <w:t xml:space="preserve"> </w:t>
      </w:r>
      <w:r>
        <w:rPr>
          <w:bCs/>
          <w:b/>
        </w:rPr>
        <w:t xml:space="preserve">rpyyvkdjmw</w:t>
      </w:r>
      <w:r>
        <w:t xml:space="preserve">. This unit forms the basis for all quantified emissions.</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meaning all emissions from raw material acquisition, manufacturing processes at the production facility, and transport up to the factory gate are included. To provide a holistic view, the analysis extends to cover the use phase and end-of-life treatment of the product, moving beyond a strict factory_gate boundary to a cradle-to-grave perspective for the product\'s lifecycle.</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rpyyvkdjmw</w:t>
      </w:r>
      <w:r>
        <w:t xml:space="preserve"> </w:t>
      </w:r>
      <w:r>
        <w:t xml:space="preserve">is</w:t>
      </w:r>
      <w:r>
        <w:t xml:space="preserve"> </w:t>
      </w:r>
      <w:r>
        <w:rPr>
          <w:bCs/>
          <w:b/>
        </w:rPr>
        <w:t xml:space="preserve">China</w:t>
      </w:r>
      <w:r>
        <w:t xml:space="preserve">. The supply chain focus is concentrated on</w:t>
      </w:r>
      <w:r>
        <w:t xml:space="preserve"> </w:t>
      </w:r>
      <w:r>
        <w:rPr>
          <w:bCs/>
          <w:b/>
        </w:rPr>
        <w:t xml:space="preserve">Europe Focused</w:t>
      </w:r>
      <w:r>
        <w:t xml:space="preserve">, indicating that upstream material and component sourcing largely occurs within Europe, with final assembly and production occurring in China.</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 Product Standard</w:t>
      </w:r>
      <w:r>
        <w:t xml:space="preserve">. This includes categorization of emissions into Scope 1 (direct emissions from owned or controlled sources),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multi-functionality occurs, emissions are allocated based on mass, a common approach in PCF studies, particularly for material-intensive products.</w:t>
      </w:r>
    </w:p>
    <w:bookmarkEnd w:id="23"/>
    <w:bookmarkStart w:id="24" w:name="ghg-protocol-2026-updates-adherence"/>
    <w:p>
      <w:pPr>
        <w:pStyle w:val="Heading2"/>
      </w:pPr>
      <w:r>
        <w:t xml:space="preserve">1.2. GHG Protocol 2026 Updates Adherence</w:t>
      </w:r>
    </w:p>
    <w:p>
      <w:pPr>
        <w:pStyle w:val="FirstParagraph"/>
      </w:pPr>
      <w:r>
        <w:t xml:space="preserve">This report incorporates the latest advancements in GHG accounting as per the 2026 updates:</w:t>
      </w:r>
    </w:p>
    <w:p>
      <w:pPr>
        <w:numPr>
          <w:ilvl w:val="0"/>
          <w:numId w:val="1002"/>
        </w:numPr>
        <w:pStyle w:val="Compact"/>
      </w:pPr>
      <w:r>
        <w:rPr>
          <w:bCs/>
          <w:b/>
        </w:rPr>
        <w:t xml:space="preserve">Land Sector and Removals (LSR) Standard:</w:t>
      </w:r>
      <w:r>
        <w:t xml:space="preserve"> </w:t>
      </w:r>
      <w:r>
        <w:t xml:space="preserve">The GHG Protocol\'s Land Sector and Removals (LSR) Standard, released on January 30, 2026, and taking effect on January 1, 2027, has been considered in this analysis. While specific land-use related activity data for</w:t>
      </w:r>
      <w:r>
        <w:t xml:space="preserve"> </w:t>
      </w:r>
      <w:r>
        <w:rPr>
          <w:bCs/>
          <w:b/>
        </w:rPr>
        <w:t xml:space="preserve">rpyyvkdjmw</w:t>
      </w:r>
      <w:r>
        <w:t xml:space="preserve">\'s components is not explicitly provided, the principles of accounting for emissions and removals from agricultural and land use activities are acknowledged. Should relevant land-use data become available, a quantified assessment would be integrated, particularly for any biogenic carbon impacts or direct land use changes.</w:t>
      </w:r>
    </w:p>
    <w:p>
      <w:pPr>
        <w:numPr>
          <w:ilvl w:val="0"/>
          <w:numId w:val="1002"/>
        </w:numPr>
        <w:pStyle w:val="Compact"/>
      </w:pPr>
      <w:r>
        <w:rPr>
          <w:bCs/>
          <w:b/>
        </w:rPr>
        <w:t xml:space="preserve">Scope 3 Compliance (95% Coverage):</w:t>
      </w:r>
      <w:r>
        <w:t xml:space="preserve"> </w:t>
      </w:r>
      <w:r>
        <w:t xml:space="preserve">The 2026 GHG Protocol update mandates that companies account for at least 95% of their total relevant Scope 3 emissions to claim conformance. This report aims for comprehensive coverage of the product\'s value chain, addressing major Scope 3 categories such as purchased goods and services, transportation, use of sold products, and end-of-life treatment of sold products. While specific primary data for every minor input may not be available for the entire value chain, efforts have been made to use reliable secondary data to ensure a robust and comprehensive Scope 3 footprint.</w:t>
      </w:r>
    </w:p>
    <w:p>
      <w:r>
        <w:pict>
          <v:rect style="width:0;height:1.5pt" o:hralign="center" o:hrstd="t" o:hr="t"/>
        </w:pict>
      </w:r>
    </w:p>
    <w:bookmarkEnd w:id="24"/>
    <w:bookmarkEnd w:id="25"/>
    <w:bookmarkStart w:id="31" w:name="lifecycle-mapping-and-data-collection"/>
    <w:p>
      <w:pPr>
        <w:pStyle w:val="Heading1"/>
      </w:pPr>
      <w:r>
        <w:t xml:space="preserve">2. Lifecycle Mapping and Data Collection</w:t>
      </w:r>
    </w:p>
    <w:p>
      <w:pPr>
        <w:pStyle w:val="FirstParagraph"/>
      </w:pPr>
      <w:r>
        <w:t xml:space="preserve">The lifecycle of</w:t>
      </w:r>
      <w:r>
        <w:t xml:space="preserve"> </w:t>
      </w:r>
      <w:r>
        <w:rPr>
          <w:bCs/>
          <w:b/>
        </w:rPr>
        <w:t xml:space="preserve">rpyyvkdjmw</w:t>
      </w:r>
      <w:r>
        <w:t xml:space="preserve"> </w:t>
      </w:r>
      <w:r>
        <w:t xml:space="preserve">is mapped across several stages, and data has been collected from various sources, prioritizing primary data where available and supplementing with industry-average secondary data.</w:t>
      </w:r>
    </w:p>
    <w:bookmarkStart w:id="26" w:name="bill-of-materials-bom-for-rpyyvkdjmw"/>
    <w:p>
      <w:pPr>
        <w:pStyle w:val="Heading2"/>
      </w:pPr>
      <w:r>
        <w:t xml:space="preserve">2.1. Bill of Materials (BOM) for rpyyvkdjmw</w:t>
      </w:r>
    </w:p>
    <w:p>
      <w:pPr>
        <w:pStyle w:val="FirstParagraph"/>
      </w:pPr>
      <w:r>
        <w:t xml:space="preserve">The following detailed Bill of Materials (BOM) provides the foundation for calculating the material-related emissions (Scope 3, Category 1 - Purchased Goods and Services). The provided Emission Factor and Total Carbon values are directly incorporated as per requirements.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60.0</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2</w:t>
            </w:r>
          </w:p>
        </w:tc>
        <w:tc>
          <w:tcPr/>
          <w:p>
            <w:pPr>
              <w:pStyle w:val="Compact"/>
              <w:jc w:val="left"/>
            </w:pPr>
            <w:r>
              <w:t xml:space="preserve">unit</w:t>
            </w:r>
          </w:p>
        </w:tc>
        <w:tc>
          <w:tcPr/>
          <w:p>
            <w:pPr>
              <w:pStyle w:val="Compact"/>
              <w:jc w:val="left"/>
            </w:pPr>
            <w:r>
              <w:t xml:space="preserve">0.5</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gridSpan w:val="6"/>
          </w:tcPr>
          <w:p>
            <w:pPr>
              <w:pStyle w:val="Compact"/>
              <w:jc w:val="right"/>
            </w:pPr>
            <w:r>
              <w:t xml:space="preserve">Total Material Weight (estimated for transport):</w:t>
            </w:r>
          </w:p>
        </w:tc>
        <w:tc>
          <w:tcPr>
            <w:gridSpan w:val="2"/>
          </w:tcPr>
          <w:p>
            <w:pPr>
              <w:pStyle w:val="Compact"/>
              <w:jc w:val="left"/>
            </w:pPr>
            <w:r>
              <w:t xml:space="preserve">82 kg (assuming 1 unit Silicon Chip ≈ 1 kg)</w:t>
            </w:r>
          </w:p>
        </w:tc>
      </w:tr>
      <w:tr>
        <w:tc>
          <w:tcPr>
            <w:gridSpan w:val="6"/>
          </w:tcPr>
          <w:p>
            <w:pPr>
              <w:pStyle w:val="Compact"/>
              <w:jc w:val="right"/>
            </w:pPr>
            <w:r>
              <w:t xml:space="preserve">Total Material GHG Emissions:</w:t>
            </w:r>
          </w:p>
        </w:tc>
        <w:tc>
          <w:tcPr>
            <w:gridSpan w:val="2"/>
          </w:tcPr>
          <w:p>
            <w:pPr>
              <w:pStyle w:val="Compact"/>
              <w:jc w:val="left"/>
            </w:pPr>
            <w:r>
              <w:t xml:space="preserve">206.0 kg CO2e</w:t>
            </w:r>
          </w:p>
        </w:tc>
      </w:tr>
    </w:tbl>
    <w:bookmarkEnd w:id="26"/>
    <w:bookmarkStart w:id="27" w:name="manufacturingproduction-data"/>
    <w:p>
      <w:pPr>
        <w:pStyle w:val="Heading2"/>
      </w:pPr>
      <w:r>
        <w:t xml:space="preserve">2.2. Manufacturing/Production Data</w:t>
      </w:r>
    </w:p>
    <w:p>
      <w:pPr>
        <w:numPr>
          <w:ilvl w:val="0"/>
          <w:numId w:val="1003"/>
        </w:numPr>
        <w:pStyle w:val="Compact"/>
      </w:pPr>
      <w:r>
        <w:rPr>
          <w:bCs/>
          <w:b/>
        </w:rPr>
        <w:t xml:space="preserve">Energy Intensity (kWh/unit):</w:t>
      </w:r>
      <w:r>
        <w:t xml:space="preserve"> </w:t>
      </w:r>
      <w:r>
        <w:t xml:space="preserve">The production process for</w:t>
      </w:r>
      <w:r>
        <w:t xml:space="preserve"> </w:t>
      </w:r>
      <w:r>
        <w:rPr>
          <w:bCs/>
          <w:b/>
        </w:rPr>
        <w:t xml:space="preserve">rpyyvkdjmw</w:t>
      </w:r>
      <w:r>
        <w:t xml:space="preserve"> </w:t>
      </w:r>
      <w:r>
        <w:t xml:space="preserve">consumes</w:t>
      </w:r>
      <w:r>
        <w:t xml:space="preserve"> </w:t>
      </w:r>
      <w:r>
        <w:rPr>
          <w:bCs/>
          <w:b/>
        </w:rPr>
        <w:t xml:space="preserve">ekjopdzuzf</w:t>
      </w:r>
      <w:r>
        <w:t xml:space="preserve"> </w:t>
      </w:r>
      <w:r>
        <w:t xml:space="preserve">(10 kWh/unit) of energy.</w:t>
      </w:r>
    </w:p>
    <w:p>
      <w:pPr>
        <w:numPr>
          <w:ilvl w:val="0"/>
          <w:numId w:val="1003"/>
        </w:numPr>
        <w:pStyle w:val="Compact"/>
      </w:pPr>
      <w:r>
        <w:rPr>
          <w:bCs/>
          <w:b/>
        </w:rPr>
        <w:t xml:space="preserve">Renewable Energy Usage:</w:t>
      </w:r>
      <w:r>
        <w:t xml:space="preserve"> </w:t>
      </w:r>
      <w:r>
        <w:rPr>
          <w:bCs/>
          <w:b/>
        </w:rPr>
        <w:t xml:space="preserve">xxemkiizin</w:t>
      </w:r>
      <w:r>
        <w:t xml:space="preserve"> </w:t>
      </w:r>
      <w:r>
        <w:t xml:space="preserve">(75%) of the energy consumed during production is sourced from renewable energy. This significantly reduces the Scope 2 (for the facility) or upstream Scope 3, Category 3 (for purchased electricity) emissions associated with manufacturing.</w:t>
      </w:r>
    </w:p>
    <w:p>
      <w:pPr>
        <w:numPr>
          <w:ilvl w:val="0"/>
          <w:numId w:val="1003"/>
        </w:numPr>
        <w:pStyle w:val="Compact"/>
      </w:pPr>
      <w:r>
        <w:rPr>
          <w:bCs/>
          <w:b/>
        </w:rPr>
        <w:t xml:space="preserve">Geographic Location:</w:t>
      </w:r>
      <w:r>
        <w:t xml:space="preserve"> </w:t>
      </w:r>
      <w:r>
        <w:t xml:space="preserve">Final production occurs in China. The non-renewable portion of electricity consumption will be allocated a China-specific grid emission factor.</w:t>
      </w:r>
    </w:p>
    <w:bookmarkEnd w:id="27"/>
    <w:bookmarkStart w:id="28" w:name="transport-logistics-data"/>
    <w:p>
      <w:pPr>
        <w:pStyle w:val="Heading2"/>
      </w:pPr>
      <w:r>
        <w:t xml:space="preserve">2.3. Transport Logistics Data</w:t>
      </w:r>
    </w:p>
    <w:p>
      <w:pPr>
        <w:pStyle w:val="FirstParagraph"/>
      </w:pPr>
      <w:r>
        <w:t xml:space="preserve">Transportation contributes to Scope 3 emissions (Categories 4 &amp; 9 - Upstream &amp; Downstream Transportation and Distribution).</w:t>
      </w:r>
    </w:p>
    <w:p>
      <w:pPr>
        <w:numPr>
          <w:ilvl w:val="0"/>
          <w:numId w:val="1004"/>
        </w:numPr>
        <w:pStyle w:val="Compact"/>
      </w:pPr>
      <w:r>
        <w:rPr>
          <w:bCs/>
          <w:b/>
        </w:rPr>
        <w:t xml:space="preserve">Main Transport Mode (Upstream):</w:t>
      </w:r>
      <w:r>
        <w:t xml:space="preserve"> </w:t>
      </w:r>
      <w:r>
        <w:t xml:space="preserve">For "Select Mode", given the "Europe Focused" supply chain for materials and "China" for production, we assume a combination, but for calculation, a predominant mode is assumed. Therefore, we assume</w:t>
      </w:r>
      <w:r>
        <w:t xml:space="preserve"> </w:t>
      </w:r>
      <w:r>
        <w:rPr>
          <w:bCs/>
          <w:b/>
        </w:rPr>
        <w:t xml:space="preserve">Road Freight (Heavy Goods Vehicle)</w:t>
      </w:r>
      <w:r>
        <w:t xml:space="preserve"> </w:t>
      </w:r>
      <w:r>
        <w:t xml:space="preserve">for the specified distance.</w:t>
      </w:r>
    </w:p>
    <w:p>
      <w:pPr>
        <w:numPr>
          <w:ilvl w:val="0"/>
          <w:numId w:val="1004"/>
        </w:numPr>
        <w:pStyle w:val="Compact"/>
      </w:pPr>
      <w:r>
        <w:rPr>
          <w:bCs/>
          <w:b/>
        </w:rPr>
        <w:t xml:space="preserve">Transport Distance (Upstream):</w:t>
      </w:r>
      <w:r>
        <w:t xml:space="preserve"> </w:t>
      </w:r>
      <w:r>
        <w:rPr>
          <w:bCs/>
          <w:b/>
        </w:rPr>
        <w:t xml:space="preserve">gqyvvgnufm</w:t>
      </w:r>
      <w:r>
        <w:t xml:space="preserve"> </w:t>
      </w:r>
      <w:r>
        <w:t xml:space="preserve">(1500 km). This distance will be applied to the transport of primary materials.</w:t>
      </w:r>
    </w:p>
    <w:p>
      <w:pPr>
        <w:numPr>
          <w:ilvl w:val="0"/>
          <w:numId w:val="1004"/>
        </w:numPr>
        <w:pStyle w:val="Compact"/>
      </w:pPr>
      <w:r>
        <w:rPr>
          <w:bCs/>
          <w:b/>
        </w:rPr>
        <w:t xml:space="preserve">Last-Mile Delivery Channel (Downstream):</w:t>
      </w:r>
      <w:r>
        <w:t xml:space="preserve"> </w:t>
      </w:r>
      <w:r>
        <w:t xml:space="preserve">"Delivery Type" is assumed to be a</w:t>
      </w:r>
      <w:r>
        <w:t xml:space="preserve"> </w:t>
      </w:r>
      <w:r>
        <w:rPr>
          <w:bCs/>
          <w:b/>
        </w:rPr>
        <w:t xml:space="preserve">Commercial Vehicle</w:t>
      </w:r>
      <w:r>
        <w:t xml:space="preserve">, representing the distribution of the finished product from the factory to the end-user.</w:t>
      </w:r>
    </w:p>
    <w:p>
      <w:pPr>
        <w:numPr>
          <w:ilvl w:val="0"/>
          <w:numId w:val="1004"/>
        </w:numPr>
        <w:pStyle w:val="Compact"/>
      </w:pPr>
      <w:r>
        <w:rPr>
          <w:bCs/>
          <w:b/>
        </w:rPr>
        <w:t xml:space="preserve">Total Product Weight for Transport:</w:t>
      </w:r>
      <w:r>
        <w:t xml:space="preserve"> </w:t>
      </w:r>
      <w:r>
        <w:t xml:space="preserve">Based on the BOM, the total product weight is 82 kg (assuming 1 silicon chip unit approximately equals 1 kg for transport mass calculation).</w:t>
      </w:r>
    </w:p>
    <w:bookmarkEnd w:id="28"/>
    <w:bookmarkStart w:id="29" w:name="use-phase-data"/>
    <w:p>
      <w:pPr>
        <w:pStyle w:val="Heading2"/>
      </w:pPr>
      <w:r>
        <w:t xml:space="preserve">2.4. Use Phase Data</w:t>
      </w:r>
    </w:p>
    <w:p>
      <w:pPr>
        <w:pStyle w:val="FirstParagraph"/>
      </w:pPr>
      <w:r>
        <w:t xml:space="preserve">Emissions during the use phase contribute to Scope 3, Category 11 (Use of Sold Products).</w:t>
      </w:r>
    </w:p>
    <w:p>
      <w:pPr>
        <w:numPr>
          <w:ilvl w:val="0"/>
          <w:numId w:val="1005"/>
        </w:numPr>
        <w:pStyle w:val="Compact"/>
      </w:pPr>
      <w:r>
        <w:rPr>
          <w:bCs/>
          <w:b/>
        </w:rPr>
        <w:t xml:space="preserve">Product Lifespan:</w:t>
      </w:r>
      <w:r>
        <w:t xml:space="preserve"> </w:t>
      </w:r>
      <w:r>
        <w:t xml:space="preserve">The expected lifespan of</w:t>
      </w:r>
      <w:r>
        <w:t xml:space="preserve"> </w:t>
      </w:r>
      <w:r>
        <w:rPr>
          <w:bCs/>
          <w:b/>
        </w:rPr>
        <w:t xml:space="preserve">rpyyvkdjmw</w:t>
      </w:r>
      <w:r>
        <w:t xml:space="preserve"> </w:t>
      </w:r>
      <w:r>
        <w:t xml:space="preserve">is</w:t>
      </w:r>
      <w:r>
        <w:t xml:space="preserve"> </w:t>
      </w:r>
      <w:r>
        <w:rPr>
          <w:bCs/>
          <w:b/>
        </w:rPr>
        <w:t xml:space="preserve">dqkqlrxmyi</w:t>
      </w:r>
      <w:r>
        <w:t xml:space="preserve"> </w:t>
      </w:r>
      <w:r>
        <w:t xml:space="preserve">(5 years).</w:t>
      </w:r>
    </w:p>
    <w:p>
      <w:pPr>
        <w:numPr>
          <w:ilvl w:val="0"/>
          <w:numId w:val="1005"/>
        </w:numPr>
        <w:pStyle w:val="Compact"/>
      </w:pPr>
      <w:r>
        <w:rPr>
          <w:bCs/>
          <w:b/>
        </w:rPr>
        <w:t xml:space="preserve">Energy Consumption in Use:</w:t>
      </w:r>
      <w:r>
        <w:t xml:space="preserve"> </w:t>
      </w:r>
      <w:r>
        <w:t xml:space="preserve">The product consumes</w:t>
      </w:r>
      <w:r>
        <w:t xml:space="preserve"> </w:t>
      </w:r>
      <w:r>
        <w:rPr>
          <w:bCs/>
          <w:b/>
        </w:rPr>
        <w:t xml:space="preserve">ephtyntgrz</w:t>
      </w:r>
      <w:r>
        <w:t xml:space="preserve"> </w:t>
      </w:r>
      <w:r>
        <w:t xml:space="preserve">(2 kWh/year) during its operational life.</w:t>
      </w:r>
    </w:p>
    <w:bookmarkEnd w:id="29"/>
    <w:bookmarkStart w:id="30" w:name="end-of-life-eol-scenarios"/>
    <w:p>
      <w:pPr>
        <w:pStyle w:val="Heading2"/>
      </w:pPr>
      <w:r>
        <w:t xml:space="preserve">2.5. End-of-Life (EoL) Scenarios</w:t>
      </w:r>
    </w:p>
    <w:p>
      <w:pPr>
        <w:pStyle w:val="FirstParagraph"/>
      </w:pPr>
      <w:r>
        <w:t xml:space="preserve">End-of-life treatment accounts for Scope 3, Category 12 (End-of-Life Treatment of Sold Products).</w:t>
      </w:r>
    </w:p>
    <w:p>
      <w:pPr>
        <w:numPr>
          <w:ilvl w:val="0"/>
          <w:numId w:val="1006"/>
        </w:numPr>
        <w:pStyle w:val="Compact"/>
      </w:pPr>
      <w:r>
        <w:rPr>
          <w:bCs/>
          <w:b/>
        </w:rPr>
        <w:t xml:space="preserve">Recyclability Percentage:</w:t>
      </w:r>
      <w:r>
        <w:t xml:space="preserve"> </w:t>
      </w:r>
      <w:r>
        <w:rPr>
          <w:bCs/>
          <w:b/>
        </w:rPr>
        <w:t xml:space="preserve">jjytoxjsfn</w:t>
      </w:r>
      <w:r>
        <w:t xml:space="preserve"> </w:t>
      </w:r>
      <w:r>
        <w:t xml:space="preserve">(80%) of the product is recyclable. This indicates a high potential for material recovery and avoided virgin material emissions.</w:t>
      </w:r>
    </w:p>
    <w:p>
      <w:pPr>
        <w:numPr>
          <w:ilvl w:val="0"/>
          <w:numId w:val="1006"/>
        </w:numPr>
        <w:pStyle w:val="Compact"/>
      </w:pPr>
      <w:r>
        <w:rPr>
          <w:bCs/>
          <w:b/>
        </w:rPr>
        <w:t xml:space="preserve">Circular/Take-back Programs:</w:t>
      </w:r>
      <w:r>
        <w:t xml:space="preserve"> </w:t>
      </w:r>
      <w:r>
        <w:rPr>
          <w:bCs/>
          <w:b/>
        </w:rPr>
        <w:t xml:space="preserve">xtdilpdrpp</w:t>
      </w:r>
      <w:r>
        <w:t xml:space="preserve"> </w:t>
      </w:r>
      <w:r>
        <w:t xml:space="preserve">(Product buy-back program) is in place, promoting circularity and proper end-of-life management, which can further enhance recycling rates and reduce waste to landfill.</w:t>
      </w:r>
    </w:p>
    <w:p>
      <w:r>
        <w:pict>
          <v:rect style="width:0;height:1.5pt" o:hralign="center" o:hrstd="t" o:hr="t"/>
        </w:pict>
      </w:r>
    </w:p>
    <w:bookmarkEnd w:id="30"/>
    <w:bookmarkEnd w:id="31"/>
    <w:bookmarkStart w:id="42" w:name="emission-calculation"/>
    <w:p>
      <w:pPr>
        <w:pStyle w:val="Heading1"/>
      </w:pPr>
      <w:r>
        <w:t xml:space="preserve">3. Emission Calculation</w:t>
      </w:r>
    </w:p>
    <w:p>
      <w:pPr>
        <w:pStyle w:val="FirstParagraph"/>
      </w:pPr>
      <w:r>
        <w:t xml:space="preserve">Emissions are calculated using activity data multiplied by appropriate emission factors (CO2e). Industry-standard emission factors from databases like Ecoinvent and DEFRA are utilized, alongside specific values provided in the BOM.</w:t>
      </w:r>
    </w:p>
    <w:bookmarkStart w:id="32" w:name="Xe2d8b72d2ee01704630a14d57efccf0cf40ee5f"/>
    <w:p>
      <w:pPr>
        <w:pStyle w:val="Heading2"/>
      </w:pPr>
      <w:r>
        <w:t xml:space="preserve">3.1. Assumptions for Emission Factors (where not specified in BOM)</w:t>
      </w:r>
    </w:p>
    <w:p>
      <w:pPr>
        <w:numPr>
          <w:ilvl w:val="0"/>
          <w:numId w:val="1007"/>
        </w:numPr>
        <w:pStyle w:val="Compact"/>
      </w:pPr>
      <w:r>
        <w:rPr>
          <w:bCs/>
          <w:b/>
        </w:rPr>
        <w:t xml:space="preserve">China Grid Electricity Emission Factor:</w:t>
      </w:r>
      <w:r>
        <w:t xml:space="preserve"> </w:t>
      </w:r>
      <w:r>
        <w:t xml:space="preserve">A national average of 0.577 kg CO2e/kWh is used for China\'s electricity grid mix for the non-renewable portion of production and for the use phase.</w:t>
      </w:r>
    </w:p>
    <w:p>
      <w:pPr>
        <w:numPr>
          <w:ilvl w:val="0"/>
          <w:numId w:val="1007"/>
        </w:numPr>
        <w:pStyle w:val="Compact"/>
      </w:pPr>
      <w:r>
        <w:rPr>
          <w:bCs/>
          <w:b/>
        </w:rPr>
        <w:t xml:space="preserve">Road Freight (Heavy Goods Vehicle) Emission Factor:</w:t>
      </w:r>
      <w:r>
        <w:t xml:space="preserve"> </w:t>
      </w:r>
      <w:r>
        <w:t xml:space="preserve">0.1 kg CO2e/tkm (ton-kilometer) for European long-haul transport.</w:t>
      </w:r>
    </w:p>
    <w:p>
      <w:pPr>
        <w:numPr>
          <w:ilvl w:val="0"/>
          <w:numId w:val="1007"/>
        </w:numPr>
        <w:pStyle w:val="Compact"/>
      </w:pPr>
      <w:r>
        <w:rPr>
          <w:bCs/>
          <w:b/>
        </w:rPr>
        <w:t xml:space="preserve">Commercial Vehicle (Last-Mile) Emission Factor:</w:t>
      </w:r>
      <w:r>
        <w:t xml:space="preserve"> </w:t>
      </w:r>
      <w:r>
        <w:t xml:space="preserve">0.5 kg CO2e/tkm (estimated, given higher intensity for smaller vehicles).</w:t>
      </w:r>
    </w:p>
    <w:p>
      <w:pPr>
        <w:numPr>
          <w:ilvl w:val="0"/>
          <w:numId w:val="1007"/>
        </w:numPr>
        <w:pStyle w:val="Compact"/>
      </w:pPr>
      <w:r>
        <w:rPr>
          <w:bCs/>
          <w:b/>
        </w:rPr>
        <w:t xml:space="preserve">Recycling Credit for Metals (Aluminum &amp; Copper):</w:t>
      </w:r>
      <w:r>
        <w:t xml:space="preserve"> </w:t>
      </w:r>
      <w:r>
        <w:t xml:space="preserve">A credit equivalent to 90% of the virgin material\'s emission factor is applied, reflecting significant energy savings from recycling. Primary aluminum typically has an EF of 14.77 kg CO2e/kg, and primary copper 4.04 kg CO2e/kg.</w:t>
      </w:r>
    </w:p>
    <w:p>
      <w:pPr>
        <w:numPr>
          <w:ilvl w:val="0"/>
          <w:numId w:val="1007"/>
        </w:numPr>
        <w:pStyle w:val="Compact"/>
      </w:pPr>
      <w:r>
        <w:rPr>
          <w:bCs/>
          <w:b/>
        </w:rPr>
        <w:t xml:space="preserve">Recycling Credit for Plastics (ABS):</w:t>
      </w:r>
      <w:r>
        <w:t xml:space="preserve"> </w:t>
      </w:r>
      <w:r>
        <w:t xml:space="preserve">A credit equivalent to 50% of the virgin material\'s emission factor is applied, reflecting energy savings from recycling. Virgin ABS has an EF of 3.125 kg CO2e/kg.</w:t>
      </w:r>
    </w:p>
    <w:p>
      <w:pPr>
        <w:numPr>
          <w:ilvl w:val="0"/>
          <w:numId w:val="1007"/>
        </w:numPr>
        <w:pStyle w:val="Compact"/>
      </w:pPr>
      <w:r>
        <w:rPr>
          <w:bCs/>
          <w:b/>
        </w:rPr>
        <w:t xml:space="preserve">Landfilling Emission Factor for Plastics:</w:t>
      </w:r>
      <w:r>
        <w:t xml:space="preserve"> </w:t>
      </w:r>
      <w:r>
        <w:t xml:space="preserve">0.033 kg CO2e/kg.</w:t>
      </w:r>
    </w:p>
    <w:p>
      <w:pPr>
        <w:numPr>
          <w:ilvl w:val="0"/>
          <w:numId w:val="1007"/>
        </w:numPr>
        <w:pStyle w:val="Compact"/>
      </w:pPr>
      <w:r>
        <w:rPr>
          <w:bCs/>
          <w:b/>
        </w:rPr>
        <w:t xml:space="preserve">Landfilling Emission Factor for Metals:</w:t>
      </w:r>
      <w:r>
        <w:t xml:space="preserve"> </w:t>
      </w:r>
      <w:r>
        <w:t xml:space="preserve">0.0089 kg CO2e/kg.</w:t>
      </w:r>
    </w:p>
    <w:p>
      <w:pPr>
        <w:numPr>
          <w:ilvl w:val="0"/>
          <w:numId w:val="1007"/>
        </w:numPr>
        <w:pStyle w:val="Compact"/>
      </w:pPr>
      <w:r>
        <w:rPr>
          <w:bCs/>
          <w:b/>
        </w:rPr>
        <w:t xml:space="preserve">Landfilling Emission Factor for Silicon Chips (Electronics):</w:t>
      </w:r>
      <w:r>
        <w:t xml:space="preserve"> </w:t>
      </w:r>
      <w:r>
        <w:t xml:space="preserve">0.1 kg CO2e/unit (estimated based on general electronic waste disposal).</w:t>
      </w:r>
    </w:p>
    <w:bookmarkEnd w:id="32"/>
    <w:bookmarkStart w:id="40" w:name="detailed-emissions-breakdown"/>
    <w:p>
      <w:pPr>
        <w:pStyle w:val="Heading2"/>
      </w:pPr>
      <w:r>
        <w:t xml:space="preserve">3.2. Detailed Emissions Breakdown</w:t>
      </w:r>
    </w:p>
    <w:bookmarkStart w:id="33" w:name="X9cd4f611fb3ed0c3f56e828b97f6066c5525f0a"/>
    <w:p>
      <w:pPr>
        <w:pStyle w:val="Heading3"/>
      </w:pPr>
      <w:r>
        <w:t xml:space="preserve">3.2.1. Scope 3: Purchased Goods and Services (Materials)</w:t>
      </w:r>
    </w:p>
    <w:p>
      <w:pPr>
        <w:pStyle w:val="FirstParagraph"/>
      </w:pPr>
      <w:r>
        <w:t xml:space="preserve">The material impact is directly calculated from the provided BOM. These emissions are considered upstream Scope 3, Category 1.</w:t>
      </w:r>
    </w:p>
    <w:p>
      <w:pPr>
        <w:numPr>
          <w:ilvl w:val="0"/>
          <w:numId w:val="1008"/>
        </w:numPr>
        <w:pStyle w:val="Compact"/>
      </w:pPr>
      <w:r>
        <w:t xml:space="preserve">Aluminum: 50 kg * 2.5 kg CO2e/kg = 125.0 kg CO2e</w:t>
      </w:r>
    </w:p>
    <w:p>
      <w:pPr>
        <w:numPr>
          <w:ilvl w:val="0"/>
          <w:numId w:val="1008"/>
        </w:numPr>
        <w:pStyle w:val="Compact"/>
      </w:pPr>
      <w:r>
        <w:t xml:space="preserve">ABS Plastic: 20 kg * 3.0 kg CO2e/kg = 60.0 kg CO2e</w:t>
      </w:r>
    </w:p>
    <w:p>
      <w:pPr>
        <w:numPr>
          <w:ilvl w:val="0"/>
          <w:numId w:val="1008"/>
        </w:numPr>
        <w:pStyle w:val="Compact"/>
      </w:pPr>
      <w:r>
        <w:t xml:space="preserve">Silicon Chip: 2 units * 0.5 kg CO2e/unit = 1.0 kg CO2e</w:t>
      </w:r>
    </w:p>
    <w:p>
      <w:pPr>
        <w:numPr>
          <w:ilvl w:val="0"/>
          <w:numId w:val="1008"/>
        </w:numPr>
        <w:pStyle w:val="Compact"/>
      </w:pPr>
      <w:r>
        <w:t xml:space="preserve">Copper Wire: 10 kg * 2.0 kg CO2e/kg = 20.0 kg CO2e</w:t>
      </w:r>
    </w:p>
    <w:p>
      <w:pPr>
        <w:numPr>
          <w:ilvl w:val="0"/>
          <w:numId w:val="1008"/>
        </w:numPr>
        <w:pStyle w:val="Compact"/>
      </w:pPr>
      <w:r>
        <w:rPr>
          <w:bCs/>
          <w:b/>
        </w:rPr>
        <w:t xml:space="preserve">Total Material Emissions: 206.0 kg CO2e</w:t>
      </w:r>
    </w:p>
    <w:bookmarkEnd w:id="33"/>
    <w:bookmarkStart w:id="34" w:name="scope-2-scope-3-production-energy"/>
    <w:p>
      <w:pPr>
        <w:pStyle w:val="Heading3"/>
      </w:pPr>
      <w:r>
        <w:t xml:space="preserve">3.2.2. Scope 2 / Scope 3: Production Energy</w:t>
      </w:r>
    </w:p>
    <w:p>
      <w:pPr>
        <w:pStyle w:val="FirstParagraph"/>
      </w:pPr>
      <w:r>
        <w:t xml:space="preserve">Energy consumption during manufacturing in China contributes to the product\'s footprint.</w:t>
      </w:r>
    </w:p>
    <w:p>
      <w:pPr>
        <w:numPr>
          <w:ilvl w:val="0"/>
          <w:numId w:val="1009"/>
        </w:numPr>
        <w:pStyle w:val="Compact"/>
      </w:pPr>
      <w:r>
        <w:t xml:space="preserve">Energy Intensity: 10 kWh/unit</w:t>
      </w:r>
    </w:p>
    <w:p>
      <w:pPr>
        <w:numPr>
          <w:ilvl w:val="0"/>
          <w:numId w:val="1009"/>
        </w:numPr>
        <w:pStyle w:val="Compact"/>
      </w:pPr>
      <w:r>
        <w:t xml:space="preserve">Renewable Energy Usage: 75%</w:t>
      </w:r>
    </w:p>
    <w:p>
      <w:pPr>
        <w:numPr>
          <w:ilvl w:val="0"/>
          <w:numId w:val="1009"/>
        </w:numPr>
        <w:pStyle w:val="Compact"/>
      </w:pPr>
      <w:r>
        <w:t xml:space="preserve">Non-renewable Energy Usage: 25% (10 kWh * 0.25 = 2.5 kWh/unit)</w:t>
      </w:r>
    </w:p>
    <w:p>
      <w:pPr>
        <w:numPr>
          <w:ilvl w:val="0"/>
          <w:numId w:val="1009"/>
        </w:numPr>
        <w:pStyle w:val="Compact"/>
      </w:pPr>
      <w:r>
        <w:t xml:space="preserve">China Grid Emission Factor: 0.577 kg CO2e/kWh</w:t>
      </w:r>
    </w:p>
    <w:p>
      <w:pPr>
        <w:numPr>
          <w:ilvl w:val="0"/>
          <w:numId w:val="1009"/>
        </w:numPr>
        <w:pStyle w:val="Compact"/>
      </w:pPr>
      <w:r>
        <w:t xml:space="preserve">Production Energy Emissions = 2.5 kWh/unit * 0.577 kg CO2e/kWh =</w:t>
      </w:r>
      <w:r>
        <w:t xml:space="preserve"> </w:t>
      </w:r>
      <w:r>
        <w:rPr>
          <w:bCs/>
          <w:b/>
        </w:rPr>
        <w:t xml:space="preserve">1.44 kg CO2e/unit</w:t>
      </w:r>
    </w:p>
    <w:p>
      <w:pPr>
        <w:numPr>
          <w:ilvl w:val="0"/>
          <w:numId w:val="1009"/>
        </w:numPr>
        <w:pStyle w:val="Compact"/>
      </w:pPr>
      <w:r>
        <w:rPr>
          <w:iCs/>
          <w:i/>
        </w:rPr>
        <w:t xml:space="preserve">Note: These emissions are typically classified as Scope 2 for the manufacturing facility\'s corporate footprint. For a product footprint, they are part of the production phase, often corresponding to Scope 3, Category 3 (Fuel- and energy-related activities not included in Scope 1 or 2) for the purchasing company.</w:t>
      </w:r>
    </w:p>
    <w:bookmarkEnd w:id="34"/>
    <w:bookmarkStart w:id="35" w:name="scope-3-transportation-and-distribution"/>
    <w:p>
      <w:pPr>
        <w:pStyle w:val="Heading3"/>
      </w:pPr>
      <w:r>
        <w:t xml:space="preserve">3.2.3. Scope 3: Transportation and Distribution</w:t>
      </w:r>
    </w:p>
    <w:p>
      <w:pPr>
        <w:pStyle w:val="FirstParagraph"/>
      </w:pPr>
      <w:r>
        <w:t xml:space="preserve">Calculations for the 82 kg product (total material weight):</w:t>
      </w:r>
    </w:p>
    <w:p>
      <w:pPr>
        <w:numPr>
          <w:ilvl w:val="0"/>
          <w:numId w:val="1010"/>
        </w:numPr>
        <w:pStyle w:val="Compact"/>
      </w:pPr>
      <w:r>
        <w:rPr>
          <w:bCs/>
          <w:b/>
        </w:rPr>
        <w:t xml:space="preserve">Upstream Transport (Road Freight - Heavy Goods Vehicle):</w:t>
      </w:r>
    </w:p>
    <w:p>
      <w:pPr>
        <w:numPr>
          <w:ilvl w:val="1"/>
          <w:numId w:val="1011"/>
        </w:numPr>
        <w:pStyle w:val="Compact"/>
      </w:pPr>
      <w:r>
        <w:t xml:space="preserve">Distance: 1500 km</w:t>
      </w:r>
    </w:p>
    <w:p>
      <w:pPr>
        <w:numPr>
          <w:ilvl w:val="1"/>
          <w:numId w:val="1011"/>
        </w:numPr>
        <w:pStyle w:val="Compact"/>
      </w:pPr>
      <w:r>
        <w:t xml:space="preserve">Emission Factor: 0.1 kg CO2e/tkm</w:t>
      </w:r>
    </w:p>
    <w:p>
      <w:pPr>
        <w:numPr>
          <w:ilvl w:val="1"/>
          <w:numId w:val="1011"/>
        </w:numPr>
        <w:pStyle w:val="Compact"/>
      </w:pPr>
      <w:r>
        <w:t xml:space="preserve">Emissions = (82 kg / 1000 kg/tonne) * 1500 km * 0.1 kg CO2e/tkm =</w:t>
      </w:r>
      <w:r>
        <w:t xml:space="preserve"> </w:t>
      </w:r>
      <w:r>
        <w:rPr>
          <w:bCs/>
          <w:b/>
        </w:rPr>
        <w:t xml:space="preserve">12.3 kg CO2e</w:t>
      </w:r>
    </w:p>
    <w:p>
      <w:pPr>
        <w:numPr>
          <w:ilvl w:val="0"/>
          <w:numId w:val="1010"/>
        </w:numPr>
        <w:pStyle w:val="Compact"/>
      </w:pPr>
      <w:r>
        <w:rPr>
          <w:bCs/>
          <w:b/>
        </w:rPr>
        <w:t xml:space="preserve">Downstream Transport (Last-Mile Delivery - Commercial Vehicle):</w:t>
      </w:r>
    </w:p>
    <w:p>
      <w:pPr>
        <w:numPr>
          <w:ilvl w:val="1"/>
          <w:numId w:val="1012"/>
        </w:numPr>
        <w:pStyle w:val="Compact"/>
      </w:pPr>
      <w:r>
        <w:t xml:space="preserve">Assuming a typical last-mile distance of 100 km.</w:t>
      </w:r>
    </w:p>
    <w:p>
      <w:pPr>
        <w:numPr>
          <w:ilvl w:val="1"/>
          <w:numId w:val="1012"/>
        </w:numPr>
        <w:pStyle w:val="Compact"/>
      </w:pPr>
      <w:r>
        <w:t xml:space="preserve">Emission Factor: 0.5 kg CO2e/tkm</w:t>
      </w:r>
    </w:p>
    <w:p>
      <w:pPr>
        <w:numPr>
          <w:ilvl w:val="1"/>
          <w:numId w:val="1012"/>
        </w:numPr>
        <w:pStyle w:val="Compact"/>
      </w:pPr>
      <w:r>
        <w:t xml:space="preserve">Emissions = (82 kg / 1000 kg/tonne) * 100 km * 0.5 kg CO2e/tkm =</w:t>
      </w:r>
      <w:r>
        <w:t xml:space="preserve"> </w:t>
      </w:r>
      <w:r>
        <w:rPr>
          <w:bCs/>
          <w:b/>
        </w:rPr>
        <w:t xml:space="preserve">4.1 kg CO2e</w:t>
      </w:r>
    </w:p>
    <w:p>
      <w:pPr>
        <w:numPr>
          <w:ilvl w:val="0"/>
          <w:numId w:val="1010"/>
        </w:numPr>
        <w:pStyle w:val="Compact"/>
      </w:pPr>
      <w:r>
        <w:rPr>
          <w:bCs/>
          <w:b/>
        </w:rPr>
        <w:t xml:space="preserve">Total Transport Emissions: 12.3 + 4.1 = 16.4 kg CO2e</w:t>
      </w:r>
    </w:p>
    <w:bookmarkEnd w:id="35"/>
    <w:bookmarkStart w:id="36" w:name="scope-3-use-of-sold-products"/>
    <w:p>
      <w:pPr>
        <w:pStyle w:val="Heading3"/>
      </w:pPr>
      <w:r>
        <w:t xml:space="preserve">3.2.4. Scope 3: Use of Sold Products</w:t>
      </w:r>
    </w:p>
    <w:p>
      <w:pPr>
        <w:pStyle w:val="FirstParagraph"/>
      </w:pPr>
      <w:r>
        <w:t xml:space="preserve">Emissions over the product\'s lifespan:</w:t>
      </w:r>
    </w:p>
    <w:p>
      <w:pPr>
        <w:numPr>
          <w:ilvl w:val="0"/>
          <w:numId w:val="1013"/>
        </w:numPr>
        <w:pStyle w:val="Compact"/>
      </w:pPr>
      <w:r>
        <w:t xml:space="preserve">Product Lifespan: 5 years</w:t>
      </w:r>
    </w:p>
    <w:p>
      <w:pPr>
        <w:numPr>
          <w:ilvl w:val="0"/>
          <w:numId w:val="1013"/>
        </w:numPr>
        <w:pStyle w:val="Compact"/>
      </w:pPr>
      <w:r>
        <w:t xml:space="preserve">Energy Consumption: 2 kWh/year</w:t>
      </w:r>
    </w:p>
    <w:p>
      <w:pPr>
        <w:numPr>
          <w:ilvl w:val="0"/>
          <w:numId w:val="1013"/>
        </w:numPr>
        <w:pStyle w:val="Compact"/>
      </w:pPr>
      <w:r>
        <w:t xml:space="preserve">Total Energy Consumption over lifespan = 2 kWh/year * 5 years = 10 kWh</w:t>
      </w:r>
    </w:p>
    <w:p>
      <w:pPr>
        <w:numPr>
          <w:ilvl w:val="0"/>
          <w:numId w:val="1013"/>
        </w:numPr>
        <w:pStyle w:val="Compact"/>
      </w:pPr>
      <w:r>
        <w:t xml:space="preserve">China Grid Emission Factor: 0.577 kg CO2e/kWh (assuming end-user electricity mix is comparable)</w:t>
      </w:r>
    </w:p>
    <w:p>
      <w:pPr>
        <w:numPr>
          <w:ilvl w:val="0"/>
          <w:numId w:val="1013"/>
        </w:numPr>
        <w:pStyle w:val="Compact"/>
      </w:pPr>
      <w:r>
        <w:t xml:space="preserve">Use Phase Emissions = 10 kWh * 0.577 kg CO2e/kWh =</w:t>
      </w:r>
      <w:r>
        <w:t xml:space="preserve"> </w:t>
      </w:r>
      <w:r>
        <w:rPr>
          <w:bCs/>
          <w:b/>
        </w:rPr>
        <w:t xml:space="preserve">5.77 kg CO2e</w:t>
      </w:r>
    </w:p>
    <w:bookmarkEnd w:id="36"/>
    <w:bookmarkStart w:id="39" w:name="X948228710a9a66811b8a00047ef35754b9519c3"/>
    <w:p>
      <w:pPr>
        <w:pStyle w:val="Heading3"/>
      </w:pPr>
      <w:r>
        <w:t xml:space="preserve">3.2.5. Scope 3: End-of-Life Treatment of Sold Products</w:t>
      </w:r>
    </w:p>
    <w:p>
      <w:pPr>
        <w:pStyle w:val="FirstParagraph"/>
      </w:pPr>
      <w:r>
        <w:t xml:space="preserve">Calculations based on material composition and recyclability (80% recyclable, 20% landfilled, applied proportionally to material weights). The product buy-back program supports a high recyclability rate.</w:t>
      </w:r>
    </w:p>
    <w:p>
      <w:pPr>
        <w:numPr>
          <w:ilvl w:val="0"/>
          <w:numId w:val="1014"/>
        </w:numPr>
        <w:pStyle w:val="Compact"/>
      </w:pPr>
      <w:r>
        <w:rPr>
          <w:bCs/>
          <w:b/>
        </w:rPr>
        <w:t xml:space="preserve">Total Product Weight:</w:t>
      </w:r>
      <w:r>
        <w:t xml:space="preserve"> </w:t>
      </w:r>
      <w:r>
        <w:t xml:space="preserve">82 kg</w:t>
      </w:r>
    </w:p>
    <w:p>
      <w:pPr>
        <w:numPr>
          <w:ilvl w:val="0"/>
          <w:numId w:val="1014"/>
        </w:numPr>
        <w:pStyle w:val="Compact"/>
      </w:pPr>
      <w:r>
        <w:rPr>
          <w:bCs/>
          <w:b/>
        </w:rPr>
        <w:t xml:space="preserve">Recycled Portion (80%):</w:t>
      </w:r>
      <w:r>
        <w:t xml:space="preserve"> </w:t>
      </w:r>
      <w:r>
        <w:t xml:space="preserve">82 kg * 0.80 = 65.6 kg</w:t>
      </w:r>
    </w:p>
    <w:p>
      <w:pPr>
        <w:numPr>
          <w:ilvl w:val="0"/>
          <w:numId w:val="1014"/>
        </w:numPr>
        <w:pStyle w:val="Compact"/>
      </w:pPr>
      <w:r>
        <w:rPr>
          <w:bCs/>
          <w:b/>
        </w:rPr>
        <w:t xml:space="preserve">Landfilled Portion (20%):</w:t>
      </w:r>
      <w:r>
        <w:t xml:space="preserve"> </w:t>
      </w:r>
      <w:r>
        <w:t xml:space="preserve">82 kg * 0.20 = 16.4 kg</w:t>
      </w:r>
    </w:p>
    <w:bookmarkStart w:id="37" w:name="X8ad1f6cc332c789a362868a528c7ea28c467b3d"/>
    <w:p>
      <w:pPr>
        <w:pStyle w:val="Heading4"/>
      </w:pPr>
      <w:r>
        <w:t xml:space="preserve">Recycled Material Credit (avoided emissions):</w:t>
      </w:r>
    </w:p>
    <w:p>
      <w:pPr>
        <w:numPr>
          <w:ilvl w:val="0"/>
          <w:numId w:val="1015"/>
        </w:numPr>
        <w:pStyle w:val="Compact"/>
      </w:pPr>
      <w:r>
        <w:rPr>
          <w:bCs/>
          <w:b/>
        </w:rPr>
        <w:t xml:space="preserve">Aluminum (50 kg * 0.80 = 40 kg recycled):</w:t>
      </w:r>
      <w:r>
        <w:t xml:space="preserve"> </w:t>
      </w:r>
      <w:r>
        <w:t xml:space="preserve">Credit for avoided primary production (90% of 14.77 kg CO2e/kg for primary aluminum) = - (40 kg * 14.77 kg CO2e/kg * 0.90) = -531.72 kg CO2e</w:t>
      </w:r>
    </w:p>
    <w:p>
      <w:pPr>
        <w:numPr>
          <w:ilvl w:val="0"/>
          <w:numId w:val="1015"/>
        </w:numPr>
        <w:pStyle w:val="Compact"/>
      </w:pPr>
      <w:r>
        <w:rPr>
          <w:bCs/>
          <w:b/>
        </w:rPr>
        <w:t xml:space="preserve">ABS Plastic (20 kg * 0.80 = 16 kg recycled):</w:t>
      </w:r>
      <w:r>
        <w:t xml:space="preserve"> </w:t>
      </w:r>
      <w:r>
        <w:t xml:space="preserve">Credit for avoided primary production (50% of 3.125 kg CO2e/kg for virgin ABS) = - (16 kg * 3.125 kg CO2e/kg * 0.50) = -25.0 kg CO2e</w:t>
      </w:r>
    </w:p>
    <w:p>
      <w:pPr>
        <w:numPr>
          <w:ilvl w:val="0"/>
          <w:numId w:val="1015"/>
        </w:numPr>
        <w:pStyle w:val="Compact"/>
      </w:pPr>
      <w:r>
        <w:rPr>
          <w:bCs/>
          <w:b/>
        </w:rPr>
        <w:t xml:space="preserve">Silicon Chip (2 units * 0.80 = 1.6 units recycled):</w:t>
      </w:r>
      <w:r>
        <w:t xml:space="preserve"> </w:t>
      </w:r>
      <w:r>
        <w:t xml:space="preserve">Assuming a recycling credit for silicon chips of 50% of its fabrication EF (0.5 kg CO2e/unit) = - (1.6 units * 0.5 kg CO2e/unit * 0.50) = -0.4 kg CO2e</w:t>
      </w:r>
    </w:p>
    <w:p>
      <w:pPr>
        <w:numPr>
          <w:ilvl w:val="0"/>
          <w:numId w:val="1015"/>
        </w:numPr>
        <w:pStyle w:val="Compact"/>
      </w:pPr>
      <w:r>
        <w:rPr>
          <w:bCs/>
          <w:b/>
        </w:rPr>
        <w:t xml:space="preserve">Copper Wire (10 kg * 0.80 = 8 kg recycled):</w:t>
      </w:r>
      <w:r>
        <w:t xml:space="preserve"> </w:t>
      </w:r>
      <w:r>
        <w:t xml:space="preserve">Credit for avoided primary production (90% of 4.04 kg CO2e/kg for primary copper) = - (8 kg * 4.04 kg CO2e/kg * 0.90) = -29.088 kg CO2e</w:t>
      </w:r>
    </w:p>
    <w:p>
      <w:pPr>
        <w:numPr>
          <w:ilvl w:val="0"/>
          <w:numId w:val="1015"/>
        </w:numPr>
        <w:pStyle w:val="Compact"/>
      </w:pPr>
      <w:r>
        <w:rPr>
          <w:bCs/>
          <w:b/>
        </w:rPr>
        <w:t xml:space="preserve">Total Recycling Credit = -531.72 - 25.0 - 0.4 - 29.088 = -586.208 kg CO2e</w:t>
      </w:r>
    </w:p>
    <w:p>
      <w:pPr>
        <w:numPr>
          <w:ilvl w:val="0"/>
          <w:numId w:val="1015"/>
        </w:numPr>
        <w:pStyle w:val="Compact"/>
      </w:pPr>
      <w:r>
        <w:rPr>
          <w:iCs/>
          <w:i/>
        </w:rPr>
        <w:t xml:space="preserve">Note: This credit represents the avoided emissions from not producing virgin materials due to recycling. Actual recycling processes also incur emissions, which are often embedded within net credits or dedicated recycling emission factors not detailed here.</w:t>
      </w:r>
    </w:p>
    <w:bookmarkEnd w:id="37"/>
    <w:bookmarkStart w:id="38" w:name="landfilled-material-debits"/>
    <w:p>
      <w:pPr>
        <w:pStyle w:val="Heading4"/>
      </w:pPr>
      <w:r>
        <w:t xml:space="preserve">Landfilled Material Debits:</w:t>
      </w:r>
    </w:p>
    <w:p>
      <w:pPr>
        <w:numPr>
          <w:ilvl w:val="0"/>
          <w:numId w:val="1016"/>
        </w:numPr>
        <w:pStyle w:val="Compact"/>
      </w:pPr>
      <w:r>
        <w:rPr>
          <w:bCs/>
          <w:b/>
        </w:rPr>
        <w:t xml:space="preserve">ABS Plastic (20 kg * 0.20 = 4 kg landfilled):</w:t>
      </w:r>
      <w:r>
        <w:t xml:space="preserve"> </w:t>
      </w:r>
      <w:r>
        <w:t xml:space="preserve">4 kg * 0.033 kg CO2e/kg = 0.132 kg CO2e</w:t>
      </w:r>
    </w:p>
    <w:p>
      <w:pPr>
        <w:numPr>
          <w:ilvl w:val="0"/>
          <w:numId w:val="1016"/>
        </w:numPr>
        <w:pStyle w:val="Compact"/>
      </w:pPr>
      <w:r>
        <w:rPr>
          <w:bCs/>
          <w:b/>
        </w:rPr>
        <w:t xml:space="preserve">Metals (Aluminum 10 kg * 0.20 = 2 kg; Copper 10 kg * 0.20 = 2 kg; Total 4 kg landfilled):</w:t>
      </w:r>
      <w:r>
        <w:t xml:space="preserve"> </w:t>
      </w:r>
      <w:r>
        <w:t xml:space="preserve">4 kg * 0.0089 kg CO2e/kg = 0.0356 kg CO2e</w:t>
      </w:r>
    </w:p>
    <w:p>
      <w:pPr>
        <w:numPr>
          <w:ilvl w:val="0"/>
          <w:numId w:val="1016"/>
        </w:numPr>
        <w:pStyle w:val="Compact"/>
      </w:pPr>
      <w:r>
        <w:rPr>
          <w:bCs/>
          <w:b/>
        </w:rPr>
        <w:t xml:space="preserve">Silicon Chip (2 units * 0.20 = 0.4 units landfilled):</w:t>
      </w:r>
      <w:r>
        <w:t xml:space="preserve"> </w:t>
      </w:r>
      <w:r>
        <w:t xml:space="preserve">0.4 units * 0.1 kg CO2e/unit (estimated) = 0.04 kg CO2e</w:t>
      </w:r>
    </w:p>
    <w:p>
      <w:pPr>
        <w:numPr>
          <w:ilvl w:val="0"/>
          <w:numId w:val="1016"/>
        </w:numPr>
        <w:pStyle w:val="Compact"/>
      </w:pPr>
      <w:r>
        <w:rPr>
          <w:bCs/>
          <w:b/>
        </w:rPr>
        <w:t xml:space="preserve">Total Landfilling Debits = 0.132 + 0.0356 + 0.04 = 0.2076 kg CO2e</w:t>
      </w:r>
    </w:p>
    <w:p>
      <w:pPr>
        <w:numPr>
          <w:ilvl w:val="0"/>
          <w:numId w:val="1017"/>
        </w:numPr>
        <w:pStyle w:val="Compact"/>
      </w:pPr>
      <w:r>
        <w:rPr>
          <w:bCs/>
          <w:b/>
        </w:rPr>
        <w:t xml:space="preserve">Net End-of-Life Emissions = Total Recycling Credit + Total Landfilling Debits = -586.208 + 0.2076 = -586.0004 kg CO2e</w:t>
      </w:r>
    </w:p>
    <w:bookmarkEnd w:id="38"/>
    <w:bookmarkEnd w:id="39"/>
    <w:bookmarkEnd w:id="40"/>
    <w:bookmarkStart w:id="41" w:name="overall-product-carbon-footprint-pcf"/>
    <w:p>
      <w:pPr>
        <w:pStyle w:val="Heading2"/>
      </w:pPr>
      <w:r>
        <w:t xml:space="preserve">3.3. Overall Product Carbon Footprint (PCF)</w:t>
      </w:r>
    </w:p>
    <w:p>
      <w:pPr>
        <w:pStyle w:val="FirstParagraph"/>
      </w:pPr>
      <w:r>
        <w:t xml:space="preserve">A summary of the calculated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GHG Emissions (kg CO2e)</w:t>
            </w:r>
          </w:p>
        </w:tc>
      </w:tr>
      <w:tr>
        <w:tc>
          <w:tcPr/>
          <w:p>
            <w:pPr>
              <w:pStyle w:val="Compact"/>
              <w:jc w:val="left"/>
            </w:pPr>
            <w:r>
              <w:t xml:space="preserve">Material Acquisition (BOM)</w:t>
            </w:r>
          </w:p>
        </w:tc>
        <w:tc>
          <w:tcPr/>
          <w:p>
            <w:pPr>
              <w:pStyle w:val="Compact"/>
              <w:jc w:val="left"/>
            </w:pPr>
            <w:r>
              <w:t xml:space="preserve">Scope 3 (Category 1)</w:t>
            </w:r>
          </w:p>
        </w:tc>
        <w:tc>
          <w:tcPr/>
          <w:p>
            <w:pPr>
              <w:pStyle w:val="Compact"/>
              <w:jc w:val="left"/>
            </w:pPr>
            <w:r>
              <w:t xml:space="preserve">206.00</w:t>
            </w:r>
          </w:p>
        </w:tc>
      </w:tr>
      <w:tr>
        <w:tc>
          <w:tcPr/>
          <w:p>
            <w:pPr>
              <w:pStyle w:val="Compact"/>
              <w:jc w:val="left"/>
            </w:pPr>
            <w:r>
              <w:t xml:space="preserve">Production (Energy)</w:t>
            </w:r>
          </w:p>
        </w:tc>
        <w:tc>
          <w:tcPr/>
          <w:p>
            <w:pPr>
              <w:pStyle w:val="Compact"/>
              <w:jc w:val="left"/>
            </w:pPr>
            <w:r>
              <w:t xml:space="preserve">Scope 2 / Scope 3 (Category 3)</w:t>
            </w:r>
          </w:p>
        </w:tc>
        <w:tc>
          <w:tcPr/>
          <w:p>
            <w:pPr>
              <w:pStyle w:val="Compact"/>
              <w:jc w:val="left"/>
            </w:pPr>
            <w:r>
              <w:t xml:space="preserve">1.44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12.30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4.10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5.77</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-586.00</w:t>
            </w:r>
          </w:p>
        </w:tc>
      </w:tr>
      <w:tr>
        <w:tc>
          <w:tcPr>
            <w:gridSpan w:val="2"/>
          </w:tcPr>
          <w:p>
            <w:pPr>
              <w:pStyle w:val="Compact"/>
              <w:jc w:val="right"/>
            </w:pPr>
            <w:r>
              <w:t xml:space="preserve">Total Product Carbon Footprint (rpyyvkdjmw):</w:t>
            </w:r>
          </w:p>
        </w:tc>
        <w:tc>
          <w:tcPr/>
          <w:p>
            <w:pPr>
              <w:pStyle w:val="Compact"/>
              <w:jc w:val="left"/>
            </w:pPr>
            <w:r>
              <w:t xml:space="preserve">-356.39 kg CO2e</w:t>
            </w:r>
          </w:p>
        </w:tc>
      </w:tr>
    </w:tbl>
    <w:p>
      <w:pPr>
        <w:pStyle w:val="BodyText"/>
      </w:pPr>
      <w:r>
        <w:t xml:space="preserve">The negative total PCF indicates that the significant recycling credits from materials, particularly aluminum and copper, largely outweigh the emissions generated across the other lifecycle stages. This highlights the strong positive impact of the product\'s high recyclability and the associated avoided emissions due to the circular economy initiatives.</w:t>
      </w:r>
    </w:p>
    <w:p>
      <w:r>
        <w:pict>
          <v:rect style="width:0;height:1.5pt" o:hralign="center" o:hrstd="t" o:hr="t"/>
        </w:pict>
      </w:r>
    </w:p>
    <w:bookmarkEnd w:id="41"/>
    <w:bookmarkEnd w:id="42"/>
    <w:bookmarkStart w:id="46" w:name="review-report"/>
    <w:p>
      <w:pPr>
        <w:pStyle w:val="Heading1"/>
      </w:pPr>
      <w:r>
        <w:t xml:space="preserve">4. Review &amp; Report</w:t>
      </w:r>
    </w:p>
    <w:bookmarkStart w:id="43" w:name="hotspot-identification"/>
    <w:p>
      <w:pPr>
        <w:pStyle w:val="Heading2"/>
      </w:pPr>
      <w:r>
        <w:t xml:space="preserve">4.1. Hotspot Identification</w:t>
      </w:r>
    </w:p>
    <w:p>
      <w:pPr>
        <w:pStyle w:val="FirstParagraph"/>
      </w:pPr>
      <w:r>
        <w:t xml:space="preserve">Based on the detailed analysis, the primary emission hotspots and areas of significant impact are:</w:t>
      </w:r>
    </w:p>
    <w:p>
      <w:pPr>
        <w:numPr>
          <w:ilvl w:val="0"/>
          <w:numId w:val="1018"/>
        </w:numPr>
        <w:pStyle w:val="Compact"/>
      </w:pPr>
      <w:r>
        <w:rPr>
          <w:bCs/>
          <w:b/>
        </w:rPr>
        <w:t xml:space="preserve">Material Acquisition:</w:t>
      </w:r>
      <w:r>
        <w:t xml:space="preserve"> </w:t>
      </w:r>
      <w:r>
        <w:t xml:space="preserve">The initial production of materials, particularly primary aluminum and ABS plastic, represents a substantial source of emissions. While the provided BOM already reflects some material-specific emission factors, sourcing lower-carbon virgin materials or increasing recycled content would be beneficial.</w:t>
      </w:r>
    </w:p>
    <w:p>
      <w:pPr>
        <w:numPr>
          <w:ilvl w:val="0"/>
          <w:numId w:val="1018"/>
        </w:numPr>
        <w:pStyle w:val="Compact"/>
      </w:pPr>
      <w:r>
        <w:rPr>
          <w:bCs/>
          <w:b/>
        </w:rPr>
        <w:t xml:space="preserve">End-of-Life (EoL):</w:t>
      </w:r>
      <w:r>
        <w:t xml:space="preserve"> </w:t>
      </w:r>
      <w:r>
        <w:t xml:space="preserve">This phase presents a significant opportunity for carbon reduction, as evidenced by the large negative emissions (credits) due to the high recyclability (80%) and the product buy-back program. Maximizing collection and efficient recycling is crucial to realize these benefits.</w:t>
      </w:r>
    </w:p>
    <w:p>
      <w:pPr>
        <w:numPr>
          <w:ilvl w:val="0"/>
          <w:numId w:val="1018"/>
        </w:numPr>
        <w:pStyle w:val="Compact"/>
      </w:pPr>
      <w:r>
        <w:rPr>
          <w:bCs/>
          <w:b/>
        </w:rPr>
        <w:t xml:space="preserve">Upstream Transportation:</w:t>
      </w:r>
      <w:r>
        <w:t xml:space="preserve"> </w:t>
      </w:r>
      <w:r>
        <w:t xml:space="preserve">The 1500 km transport distance for materials contributes notably to upstream emissions.</w:t>
      </w:r>
    </w:p>
    <w:p>
      <w:pPr>
        <w:numPr>
          <w:ilvl w:val="0"/>
          <w:numId w:val="1018"/>
        </w:numPr>
        <w:pStyle w:val="Compact"/>
      </w:pPr>
      <w:r>
        <w:rPr>
          <w:bCs/>
          <w:b/>
        </w:rPr>
        <w:t xml:space="preserve">Production Energy:</w:t>
      </w:r>
      <w:r>
        <w:t xml:space="preserve"> </w:t>
      </w:r>
      <w:r>
        <w:t xml:space="preserve">The high (75%) renewable energy usage by</w:t>
      </w:r>
      <w:r>
        <w:t xml:space="preserve"> </w:t>
      </w:r>
      <w:r>
        <w:rPr>
          <w:bCs/>
          <w:b/>
        </w:rPr>
        <w:t xml:space="preserve">ynhtpymkqz</w:t>
      </w:r>
      <w:r>
        <w:t xml:space="preserve"> </w:t>
      </w:r>
      <w:r>
        <w:t xml:space="preserve">significantly mitigates emissions in this phase, demonstrating a positive effort and best practice in low-carbon manufacturing.</w:t>
      </w:r>
    </w:p>
    <w:bookmarkEnd w:id="43"/>
    <w:bookmarkStart w:id="44" w:name="reliability-and-limitations"/>
    <w:p>
      <w:pPr>
        <w:pStyle w:val="Heading2"/>
      </w:pPr>
      <w:r>
        <w:t xml:space="preserve">4.2. Reliability and Limitations</w:t>
      </w:r>
    </w:p>
    <w:p>
      <w:pPr>
        <w:pStyle w:val="FirstParagraph"/>
      </w:pPr>
      <w:r>
        <w:t xml:space="preserve">The reliability of this PCF analysis is contingent on several factors:</w:t>
      </w:r>
    </w:p>
    <w:p>
      <w:pPr>
        <w:numPr>
          <w:ilvl w:val="0"/>
          <w:numId w:val="1019"/>
        </w:numPr>
        <w:pStyle w:val="Compact"/>
      </w:pPr>
      <w:r>
        <w:rPr>
          <w:bCs/>
          <w:b/>
        </w:rPr>
        <w:t xml:space="preserve">Data Quality:</w:t>
      </w:r>
      <w:r>
        <w:t xml:space="preserve"> </w:t>
      </w:r>
      <w:r>
        <w:t xml:space="preserve">The analysis relies on a mix of primary data (BOM\'s inherent EFs, energy usage, recyclability) and secondary, industry-average emission factors (for transport, grid electricity, general EoL processes). Greater primary data collection for all aspects of the supply chain would enhance accuracy.</w:t>
      </w:r>
    </w:p>
    <w:p>
      <w:pPr>
        <w:numPr>
          <w:ilvl w:val="0"/>
          <w:numId w:val="1019"/>
        </w:numPr>
        <w:pStyle w:val="Compact"/>
      </w:pPr>
      <w:r>
        <w:rPr>
          <w:bCs/>
          <w:b/>
        </w:rPr>
        <w:t xml:space="preserve">Assumed Emission Factors:</w:t>
      </w:r>
      <w:r>
        <w:t xml:space="preserve"> </w:t>
      </w:r>
      <w:r>
        <w:t xml:space="preserve">Where specific data was not provided (e.g., exact transport mode details for "Select Mode" and "Delivery Type", specific EoL processing emissions for all materials beyond general landfilling factors), industry-average emission factors were applied. These assumptions are based on current best available data from reputable sources (e.g., Climatiq, EPA, IEA, DEFRA, IAI).</w:t>
      </w:r>
    </w:p>
    <w:p>
      <w:pPr>
        <w:numPr>
          <w:ilvl w:val="0"/>
          <w:numId w:val="1019"/>
        </w:numPr>
        <w:pStyle w:val="Compact"/>
      </w:pPr>
      <w:r>
        <w:rPr>
          <w:bCs/>
          <w:b/>
        </w:rPr>
        <w:t xml:space="preserve">System Boundary:</w:t>
      </w:r>
      <w:r>
        <w:t xml:space="preserve"> </w:t>
      </w:r>
      <w:r>
        <w:t xml:space="preserve">While comprehensive in covering cradle-to-gate plus use and EoL, specific upstream processes for components not detailed in the BOM are covered by the material EFs.</w:t>
      </w:r>
    </w:p>
    <w:p>
      <w:pPr>
        <w:numPr>
          <w:ilvl w:val="0"/>
          <w:numId w:val="1019"/>
        </w:numPr>
        <w:pStyle w:val="Compact"/>
      </w:pPr>
      <w:r>
        <w:rPr>
          <w:bCs/>
          <w:b/>
        </w:rPr>
        <w:t xml:space="preserve">2026 LSR Standard:</w:t>
      </w:r>
      <w:r>
        <w:t xml:space="preserve"> </w:t>
      </w:r>
      <w:r>
        <w:t xml:space="preserve">While acknowledged, a quantitative assessment of land use impacts was not possible without specific land use change or biogenic carbon data related to the product\'s components or operations.</w:t>
      </w:r>
    </w:p>
    <w:p>
      <w:pPr>
        <w:numPr>
          <w:ilvl w:val="0"/>
          <w:numId w:val="1019"/>
        </w:numPr>
        <w:pStyle w:val="Compact"/>
      </w:pPr>
      <w:r>
        <w:rPr>
          <w:bCs/>
          <w:b/>
        </w:rPr>
        <w:t xml:space="preserve">GHG Protocol Scope 3 Coverage:</w:t>
      </w:r>
      <w:r>
        <w:t xml:space="preserve"> </w:t>
      </w:r>
      <w:r>
        <w:t xml:space="preserve">Efforts were made to achieve comprehensive Scope 3 coverage (aiming for the 95% target). The presented calculations cover significant categories; however, without deeper granular data from all value chain partners, some minor categories might be estimated or excluded, with the understanding that they are not material to the overall footprint.</w:t>
      </w:r>
    </w:p>
    <w:bookmarkEnd w:id="44"/>
    <w:bookmarkStart w:id="45" w:name="recommendations-for-improvement"/>
    <w:p>
      <w:pPr>
        <w:pStyle w:val="Heading2"/>
      </w:pPr>
      <w:r>
        <w:t xml:space="preserve">4.3. Recommendations for Improvement</w:t>
      </w:r>
    </w:p>
    <w:p>
      <w:pPr>
        <w:numPr>
          <w:ilvl w:val="0"/>
          <w:numId w:val="1020"/>
        </w:numPr>
        <w:pStyle w:val="Compact"/>
      </w:pPr>
      <w:r>
        <w:rPr>
          <w:bCs/>
          <w:b/>
        </w:rPr>
        <w:t xml:space="preserve">Supply Chain Engagement:</w:t>
      </w:r>
      <w:r>
        <w:t xml:space="preserve"> </w:t>
      </w:r>
      <w:r>
        <w:t xml:space="preserve">Engage with key suppliers to gather more specific primary data for material extraction, processing, and transportation to further refine Scope 3 (Category 1 &amp; 4) calculations. This will improve the accuracy and traceability as emphasized by the 2026 Scope 3 revisions.</w:t>
      </w:r>
    </w:p>
    <w:p>
      <w:pPr>
        <w:numPr>
          <w:ilvl w:val="0"/>
          <w:numId w:val="1020"/>
        </w:numPr>
        <w:pStyle w:val="Compact"/>
      </w:pPr>
      <w:r>
        <w:rPr>
          <w:bCs/>
          <w:b/>
        </w:rPr>
        <w:t xml:space="preserve">Transport Optimization:</w:t>
      </w:r>
      <w:r>
        <w:t xml:space="preserve"> </w:t>
      </w:r>
      <w:r>
        <w:t xml:space="preserve">Investigate opportunities for optimizing transport modes (e.g., shifting to lower-emission modes like rail or ocean where feasible for upstream logistics from Europe to China) and consolidating shipments to reduce overall transport distances and emissions.</w:t>
      </w:r>
    </w:p>
    <w:p>
      <w:pPr>
        <w:numPr>
          <w:ilvl w:val="0"/>
          <w:numId w:val="1020"/>
        </w:numPr>
        <w:pStyle w:val="Compact"/>
      </w:pPr>
      <w:r>
        <w:rPr>
          <w:bCs/>
          <w:b/>
        </w:rPr>
        <w:t xml:space="preserve">Renewable Energy Expansion:</w:t>
      </w:r>
      <w:r>
        <w:t xml:space="preserve"> </w:t>
      </w:r>
      <w:r>
        <w:t xml:space="preserve">Continuously increase the share of renewable energy in manufacturing operations to further reduce Scope 2 (or Scope 3, Category 3) emissions, especially as China\'s grid decarbonizes.</w:t>
      </w:r>
    </w:p>
    <w:p>
      <w:pPr>
        <w:numPr>
          <w:ilvl w:val="0"/>
          <w:numId w:val="1020"/>
        </w:numPr>
        <w:pStyle w:val="Compact"/>
      </w:pPr>
      <w:r>
        <w:rPr>
          <w:bCs/>
          <w:b/>
        </w:rPr>
        <w:t xml:space="preserve">Circular Economy Enhancement:</w:t>
      </w:r>
      <w:r>
        <w:t xml:space="preserve"> </w:t>
      </w:r>
      <w:r>
        <w:t xml:space="preserve">Leverage the existing product buy-back program to maximize actual recycling rates and explore opportunities to incorporate higher percentages of post-consumer recycled content into product design, further amplifying avoided emissions.</w:t>
      </w:r>
    </w:p>
    <w:p>
      <w:pPr>
        <w:numPr>
          <w:ilvl w:val="0"/>
          <w:numId w:val="1020"/>
        </w:numPr>
        <w:pStyle w:val="Compact"/>
      </w:pPr>
      <w:r>
        <w:rPr>
          <w:bCs/>
          <w:b/>
        </w:rPr>
        <w:t xml:space="preserve">Life Cycle Assessment (LCA) Software:</w:t>
      </w:r>
      <w:r>
        <w:t xml:space="preserve"> </w:t>
      </w:r>
      <w:r>
        <w:t xml:space="preserve">Utilize specialized LCA software with regularly updated, regionally specific databases (e.g., Ecoinvent, GaBi) for more refined and automated emission factor application and sensitivity analysis.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rpyyvkdjmw</dc:title>
  <dc:creator/>
  <dc:description>High-detail Product Carbon Footprint (PCF) analysis for rpyyvkdjmw, adhering to GHG Protocol and 2026 updates, conducted by Senior Sustainability Consultant gxuvxxxjhh for ynhtpymkqz.</dc:description>
  <dc:language>en</dc:language>
  <cp:keywords/>
  <dcterms:created xsi:type="dcterms:W3CDTF">2026-05-30T23:54:47Z</dcterms:created>
  <dcterms:modified xsi:type="dcterms:W3CDTF">2026-05-30T23:54:47Z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