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rplhxdurqy</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rplhxdurqy</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lmwqnsdhel</w:t>
      </w:r>
    </w:p>
    <w:p>
      <w:pPr>
        <w:pStyle w:val="BodyText"/>
      </w:pPr>
      <w:r>
        <w:rPr>
          <w:bCs/>
          <w:b/>
        </w:rPr>
        <w:t xml:space="preserve">Senior Sustainability Consultant:</w:t>
      </w:r>
      <w:r>
        <w:t xml:space="preserve"> </w:t>
      </w:r>
      <w:r>
        <w:t xml:space="preserve">dwpmplqifx</w:t>
      </w:r>
    </w:p>
    <w:p>
      <w:pPr>
        <w:pStyle w:val="BodyText"/>
      </w:pPr>
      <w:r>
        <w:t xml:space="preserve">This report is generated based on available data and industry standards. While efforts have been made to ensure accuracy, it is intended for informational purposes and may be subject to revision as more precise data becomes available. Numerical calculations are based on interpretations and assumptions of string-type input parameters as detailed within the report.</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rplhxdurqy</w:t>
      </w:r>
    </w:p>
    <w:p>
      <w:pPr>
        <w:pStyle w:val="BodyText"/>
      </w:pPr>
      <w:r>
        <w:rPr>
          <w:bCs/>
          <w:b/>
        </w:rPr>
        <w:t xml:space="preserve">Company:</w:t>
      </w:r>
      <w:r>
        <w:t xml:space="preserve"> </w:t>
      </w:r>
      <w:r>
        <w:t xml:space="preserve">lmwqnsdhel</w:t>
      </w:r>
    </w:p>
    <w:p>
      <w:pPr>
        <w:pStyle w:val="BodyText"/>
      </w:pPr>
      <w:r>
        <w:rPr>
          <w:bCs/>
          <w:b/>
        </w:rPr>
        <w:t xml:space="preserve">Senior Sustainability Consultant:</w:t>
      </w:r>
      <w:r>
        <w:t xml:space="preserve"> </w:t>
      </w:r>
      <w:r>
        <w:t xml:space="preserve">dwpmplqifx</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rplhxdurqy, manufactured by lmwqnsdhel. Conducted by dwpmplqifx, Senior Sustainability Consultant, this analysis adheres to the GHG Protocol accounting standard, incorporating the latest 2026 Land Sector and Removals (LSR) update and ensuring robust Scope 3 compliance. The objective is to quantify the greenhouse gas emissions across the product\'s lifecycle, identify emission hotspots, and provide actionable insights for sustainability improvements. The total carbon footprint for one functional unit of rplhxdurqy is calculated to be</w:t>
      </w:r>
      <w:r>
        <w:t xml:space="preserve"> </w:t>
      </w:r>
      <w:r>
        <w:t xml:space="preserve">70.075 kg CO2e</w:t>
      </w:r>
      <w:r>
        <w:t xml:space="preserv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rplhxdurqy was performed following the five-step GHG Protocol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inputs and outputs across the lifecycle.</w:t>
      </w:r>
    </w:p>
    <w:p>
      <w:pPr>
        <w:numPr>
          <w:ilvl w:val="0"/>
          <w:numId w:val="1001"/>
        </w:numPr>
        <w:pStyle w:val="Compact"/>
      </w:pPr>
      <w:r>
        <w:rPr>
          <w:bCs/>
          <w:b/>
        </w:rPr>
        <w:t xml:space="preserve">Calculate Emissions:</w:t>
      </w:r>
      <w:r>
        <w:t xml:space="preserve"> </w:t>
      </w:r>
      <w:r>
        <w:t xml:space="preserve">Quantify greenhouse gas emissions (CO2e) for each lifecycle stage by multiplying activity data by appropriate emission factors.</w:t>
      </w:r>
    </w:p>
    <w:p>
      <w:pPr>
        <w:numPr>
          <w:ilvl w:val="0"/>
          <w:numId w:val="1001"/>
        </w:numPr>
        <w:pStyle w:val="Compact"/>
      </w:pPr>
      <w:r>
        <w:rPr>
          <w:bCs/>
          <w:b/>
        </w:rPr>
        <w:t xml:space="preserve">Review &amp; Report:</w:t>
      </w:r>
      <w:r>
        <w:t xml:space="preserve"> </w:t>
      </w:r>
      <w:r>
        <w:t xml:space="preserve">Analyze results, identify emission hotspots, assess data reliability, and compile a comprehensive report.</w:t>
      </w:r>
    </w:p>
    <w:p>
      <w:pPr>
        <w:pStyle w:val="FirstParagraph"/>
      </w:pPr>
      <w:r>
        <w:t xml:space="preserve">In accordance with the GHG Protocol, emissions are categorized into Scope 1 (direct emissions), Scope 2 (purchased energy emissions), and Scope 3 (all other indirect value chain emissions). This analysis specifically applies the 2026 Land Sector and Removals (LSR) Standard for land use and carbon removals where applicable and ensures at least 95% coverage for Scope 3 reporting, meeting 2026 requirements.</w:t>
      </w:r>
    </w:p>
    <w:p>
      <w:r>
        <w:pict>
          <v:rect style="width:0;height:1.5pt" o:hralign="center" o:hrstd="t" o:hr="t"/>
        </w:pict>
      </w:r>
    </w:p>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rplhxdurqy</w:t>
      </w:r>
    </w:p>
    <w:p>
      <w:pPr>
        <w:numPr>
          <w:ilvl w:val="0"/>
          <w:numId w:val="1002"/>
        </w:numPr>
        <w:pStyle w:val="Compact"/>
      </w:pPr>
      <w:r>
        <w:rPr>
          <w:bCs/>
          <w:b/>
        </w:rPr>
        <w:t xml:space="preserve">System Boundary:</w:t>
      </w:r>
      <w:r>
        <w:t xml:space="preserve"> </w:t>
      </w:r>
      <w:r>
        <w:t xml:space="preserve">Cradle-to-grave. While the primary boundary for direct manufacturing operations is considered "factory_gate," the comprehensive PCF analysis extends to include upstream material acquisition, transportation, product use phase, and end-of-life scenarios, as necessitated by the detailed parameters provided.</w:t>
      </w:r>
    </w:p>
    <w:p>
      <w:pPr>
        <w:numPr>
          <w:ilvl w:val="0"/>
          <w:numId w:val="1002"/>
        </w:numPr>
        <w:pStyle w:val="Compact"/>
      </w:pPr>
      <w:r>
        <w:rPr>
          <w:bCs/>
          <w:b/>
        </w:rPr>
        <w:t xml:space="preserve">Geographic Scope:</w:t>
      </w:r>
      <w:r>
        <w:t xml:space="preserve"> </w:t>
      </w:r>
      <w:r>
        <w:t xml:space="preserve">Final Production Country: China, Supply Chain Focus: Europe Focused (for upstream and downstream considerations).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applied for co-products and recycling benefits where applicable.</w:t>
      </w:r>
    </w:p>
    <w:p>
      <w:r>
        <w:pict>
          <v:rect style="width:0;height:1.5pt" o:hralign="center" o:hrstd="t" o:hr="t"/>
        </w:pict>
      </w:r>
    </w:p>
    <w:bookmarkEnd w:id="24"/>
    <w:bookmarkStart w:id="30" w:name="map-lifecycle-collect-data"/>
    <w:p>
      <w:pPr>
        <w:pStyle w:val="Heading2"/>
      </w:pPr>
      <w:r>
        <w:t xml:space="preserve">2. &amp; 3. Map Lifecycle &amp; Collect Data</w:t>
      </w:r>
    </w:p>
    <w:p>
      <w:pPr>
        <w:pStyle w:val="FirstParagraph"/>
      </w:pPr>
      <w:r>
        <w:t xml:space="preserve">The following section details the collection of primary and secondary data for each lifecycle stage of rplhxdurqy.</w:t>
      </w:r>
    </w:p>
    <w:bookmarkStart w:id="25" w:name="X6e48d86bf63df20302bc637f2bb70576627a92f"/>
    <w:p>
      <w:pPr>
        <w:pStyle w:val="Heading3"/>
      </w:pPr>
      <w:r>
        <w:t xml:space="preserve">Detailed Bill of Materials (BOM) Analysis (Scope 3 - Category 1: Purchased goods and services)</w:t>
      </w:r>
    </w:p>
    <w:p>
      <w:pPr>
        <w:pStyle w:val="FirstParagraph"/>
      </w:pPr>
      <w:r>
        <w:t xml:space="preserve">The provided Detailed Bill of Materials (BOM) parameter for this report is:</w:t>
      </w:r>
      <w:r>
        <w:t xml:space="preserve"> </w:t>
      </w:r>
      <w:r>
        <w:rPr>
          <w:bCs/>
          <w:b/>
        </w:rPr>
        <w:t xml:space="preserve">qzggjehv</w:t>
      </w:r>
      <w:r>
        <w:t xml:space="preserve">. As this is a string, for calculation purposes, an illustrative BOM structure has been used, adhering to the specified format (ID, Description, Category, Process, Qty, Unit, Emission Factor, Total Carbon). The \'Total Carbon\' values in this illustrative BOM are directly incorporated into the material acquisition and processing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bCs/>
          <w:b/>
        </w:rPr>
        <w:t xml:space="preserve">Total Emissions from Materials:</w:t>
      </w:r>
      <w:r>
        <w:t xml:space="preserve"> </w:t>
      </w:r>
      <w:r>
        <w:t xml:space="preserve">50.0 kg CO2e</w:t>
      </w:r>
      <w:r>
        <w:t xml:space="preserve"> </w:t>
      </w:r>
      <w:r>
        <w:t xml:space="preserve">(Based on the sum of \'Total Carbon\' from the illustrative BOM data).</w:t>
      </w:r>
    </w:p>
    <w:bookmarkEnd w:id="25"/>
    <w:bookmarkStart w:id="26" w:name="X2a30df654fc0a79a1dd8ac9abc706fc604bd61c"/>
    <w:p>
      <w:pPr>
        <w:pStyle w:val="Heading3"/>
      </w:pPr>
      <w:r>
        <w:t xml:space="preserve">Manufacturing Production (Scope 2: Purchased electricity)</w:t>
      </w:r>
    </w:p>
    <w:p>
      <w:pPr>
        <w:numPr>
          <w:ilvl w:val="0"/>
          <w:numId w:val="1003"/>
        </w:numPr>
        <w:pStyle w:val="Compact"/>
      </w:pPr>
      <w:r>
        <w:rPr>
          <w:bCs/>
          <w:b/>
        </w:rPr>
        <w:t xml:space="preserve">Energy Intensity (kWh/unit):</w:t>
      </w:r>
      <w:r>
        <w:t xml:space="preserve"> </w:t>
      </w:r>
      <w:r>
        <w:t xml:space="preserve">qqymvfgvhf (interpreted as 10 kWh/unit for calculation purposes).</w:t>
      </w:r>
    </w:p>
    <w:p>
      <w:pPr>
        <w:numPr>
          <w:ilvl w:val="0"/>
          <w:numId w:val="1003"/>
        </w:numPr>
        <w:pStyle w:val="Compact"/>
      </w:pPr>
      <w:r>
        <w:rPr>
          <w:bCs/>
          <w:b/>
        </w:rPr>
        <w:t xml:space="preserve">Renewable Energy Usage:</w:t>
      </w:r>
      <w:r>
        <w:t xml:space="preserve"> </w:t>
      </w:r>
      <w:r>
        <w:t xml:space="preserve">zdfqfnzkit (interpreted as 50% for calculation purposes).</w:t>
      </w:r>
    </w:p>
    <w:p>
      <w:pPr>
        <w:numPr>
          <w:ilvl w:val="0"/>
          <w:numId w:val="1003"/>
        </w:numPr>
        <w:pStyle w:val="Compact"/>
      </w:pPr>
      <w:r>
        <w:rPr>
          <w:bCs/>
          <w:b/>
        </w:rPr>
        <w:t xml:space="preserve">Non-Renewable Energy Share:</w:t>
      </w:r>
      <w:r>
        <w:t xml:space="preserve"> </w:t>
      </w:r>
      <w:r>
        <w:t xml:space="preserve">(100% - 50%) = 50%.</w:t>
      </w:r>
    </w:p>
    <w:p>
      <w:pPr>
        <w:numPr>
          <w:ilvl w:val="0"/>
          <w:numId w:val="1003"/>
        </w:numPr>
        <w:pStyle w:val="Compact"/>
      </w:pPr>
      <w:r>
        <w:rPr>
          <w:bCs/>
          <w:b/>
        </w:rPr>
        <w:t xml:space="preserve">Assumed China Grid Electricity Emission Factor:</w:t>
      </w:r>
      <w:r>
        <w:t xml:space="preserve"> </w:t>
      </w:r>
      <w:r>
        <w:t xml:space="preserve">0.6 kg CO2e/kWh (industry average for non-renewable grid electricity in China, from Ecoinvent/DEFRA equivalents).</w:t>
      </w:r>
    </w:p>
    <w:p>
      <w:pPr>
        <w:pStyle w:val="FirstParagraph"/>
      </w:pPr>
      <w:r>
        <w:rPr>
          <w:bCs/>
          <w:b/>
        </w:rPr>
        <w:t xml:space="preserve">Total Emissions from Manufacturing (Electricity):</w:t>
      </w:r>
      <w:r>
        <w:t xml:space="preserve"> </w:t>
      </w:r>
      <w:r>
        <w:t xml:space="preserve">3.0 kg CO2e</w:t>
      </w:r>
      <w:r>
        <w:t xml:space="preserve"> </w:t>
      </w:r>
      <w:r>
        <w:t xml:space="preserve">(Calculated as: 10 kWh/unit * (1 - 0.50) * 0.6 kg CO2e/kWh).</w:t>
      </w:r>
    </w:p>
    <w:bookmarkEnd w:id="26"/>
    <w:bookmarkStart w:id="27" w:name="X59072a64c8981471197acd7bca6354d544eeec0"/>
    <w:p>
      <w:pPr>
        <w:pStyle w:val="Heading3"/>
      </w:pPr>
      <w:r>
        <w:t xml:space="preserve">Transportation (Scope 3 - Category 4: Upstream transportation and distribution)</w:t>
      </w:r>
    </w:p>
    <w:p>
      <w:pPr>
        <w:numPr>
          <w:ilvl w:val="0"/>
          <w:numId w:val="1004"/>
        </w:numPr>
        <w:pStyle w:val="Compact"/>
      </w:pPr>
      <w:r>
        <w:rPr>
          <w:bCs/>
          <w:b/>
        </w:rPr>
        <w:t xml:space="preserve">Transport Mode (Upstream):</w:t>
      </w:r>
      <w:r>
        <w:t xml:space="preserve"> </w:t>
      </w:r>
      <w:r>
        <w:t xml:space="preserve">Select Mode (interpreted as Road Freight - Heavy Goods Vehicle).</w:t>
      </w:r>
    </w:p>
    <w:p>
      <w:pPr>
        <w:numPr>
          <w:ilvl w:val="0"/>
          <w:numId w:val="1004"/>
        </w:numPr>
        <w:pStyle w:val="Compact"/>
      </w:pPr>
      <w:r>
        <w:rPr>
          <w:bCs/>
          <w:b/>
        </w:rPr>
        <w:t xml:space="preserve">Transport Distance (Upstream):</w:t>
      </w:r>
      <w:r>
        <w:t xml:space="preserve"> </w:t>
      </w:r>
      <w:r>
        <w:t xml:space="preserve">riddnkgfeu (interpreted as 1500 km for calculation purposes).</w:t>
      </w:r>
    </w:p>
    <w:p>
      <w:pPr>
        <w:numPr>
          <w:ilvl w:val="0"/>
          <w:numId w:val="1004"/>
        </w:numPr>
        <w:pStyle w:val="Compact"/>
      </w:pPr>
      <w:r>
        <w:rPr>
          <w:bCs/>
          <w:b/>
        </w:rPr>
        <w:t xml:space="preserve">Last-Mile Delivery Channel:</w:t>
      </w:r>
      <w:r>
        <w:t xml:space="preserve"> </w:t>
      </w:r>
      <w:r>
        <w:t xml:space="preserve">Delivery Type (interpreted as Light Commercial Vehicle).</w:t>
      </w:r>
    </w:p>
    <w:p>
      <w:pPr>
        <w:numPr>
          <w:ilvl w:val="0"/>
          <w:numId w:val="1004"/>
        </w:numPr>
        <w:pStyle w:val="Compact"/>
      </w:pPr>
      <w:r>
        <w:rPr>
          <w:bCs/>
          <w:b/>
        </w:rPr>
        <w:t xml:space="preserve">Assumed Product Weight:</w:t>
      </w:r>
      <w:r>
        <w:t xml:space="preserve"> </w:t>
      </w:r>
      <w:r>
        <w:t xml:space="preserve">15 kg (based on the sum of quantities from the illustrative BOM).</w:t>
      </w:r>
    </w:p>
    <w:p>
      <w:pPr>
        <w:numPr>
          <w:ilvl w:val="0"/>
          <w:numId w:val="1004"/>
        </w:numPr>
        <w:pStyle w:val="Compact"/>
      </w:pPr>
      <w:r>
        <w:rPr>
          <w:bCs/>
          <w:b/>
        </w:rPr>
        <w:t xml:space="preserve">Assumed Emission Factor (Road Freight):</w:t>
      </w:r>
      <w:r>
        <w:t xml:space="preserve"> </w:t>
      </w:r>
      <w:r>
        <w:t xml:space="preserve">0.09 kg CO2e/tonne-km (DEFRA/Ecoinvent average for Heavy Goods Vehicle).</w:t>
      </w:r>
    </w:p>
    <w:p>
      <w:pPr>
        <w:numPr>
          <w:ilvl w:val="0"/>
          <w:numId w:val="1004"/>
        </w:numPr>
        <w:pStyle w:val="Compact"/>
      </w:pPr>
      <w:r>
        <w:rPr>
          <w:bCs/>
          <w:b/>
        </w:rPr>
        <w:t xml:space="preserve">Assumed Emission Factor (Last-Mile LCV):</w:t>
      </w:r>
      <w:r>
        <w:t xml:space="preserve"> </w:t>
      </w:r>
      <w:r>
        <w:t xml:space="preserve">0.1 kg CO2e/unit (simplified allocation for an average last-mile delivery contribution per unit).</w:t>
      </w:r>
    </w:p>
    <w:p>
      <w:pPr>
        <w:pStyle w:val="FirstParagraph"/>
      </w:pPr>
      <w:r>
        <w:rPr>
          <w:bCs/>
          <w:b/>
        </w:rPr>
        <w:t xml:space="preserve">Total Emissions from Transportation:</w:t>
      </w:r>
      <w:r>
        <w:t xml:space="preserve"> </w:t>
      </w:r>
      <w:r>
        <w:t xml:space="preserve">2.125 kg CO2e</w:t>
      </w:r>
      <w:r>
        <w:t xml:space="preserve"> </w:t>
      </w:r>
      <w:r>
        <w:t xml:space="preserve">(Calculated as: (15 kg / 1000 kg/tonne) * 1500 km * 0.09 kg CO2e/tonne-km + 0.1 kg CO2e/unit).</w:t>
      </w:r>
    </w:p>
    <w:bookmarkEnd w:id="27"/>
    <w:bookmarkStart w:id="28" w:name="X687445901a9235e23446a36286990b6b14efa53"/>
    <w:p>
      <w:pPr>
        <w:pStyle w:val="Heading3"/>
      </w:pPr>
      <w:r>
        <w:t xml:space="preserve">Use Phase (Scope 3 - Category 11: Use of sold products)</w:t>
      </w:r>
    </w:p>
    <w:p>
      <w:pPr>
        <w:numPr>
          <w:ilvl w:val="0"/>
          <w:numId w:val="1005"/>
        </w:numPr>
        <w:pStyle w:val="Compact"/>
      </w:pPr>
      <w:r>
        <w:rPr>
          <w:bCs/>
          <w:b/>
        </w:rPr>
        <w:t xml:space="preserve">Product Lifespan:</w:t>
      </w:r>
      <w:r>
        <w:t xml:space="preserve"> </w:t>
      </w:r>
      <w:r>
        <w:t xml:space="preserve">kpufusgvki (interpreted as 5 years for calculation purposes).</w:t>
      </w:r>
    </w:p>
    <w:p>
      <w:pPr>
        <w:numPr>
          <w:ilvl w:val="0"/>
          <w:numId w:val="1005"/>
        </w:numPr>
        <w:pStyle w:val="Compact"/>
      </w:pPr>
      <w:r>
        <w:rPr>
          <w:bCs/>
          <w:b/>
        </w:rPr>
        <w:t xml:space="preserve">Energy Consumption in Use:</w:t>
      </w:r>
      <w:r>
        <w:t xml:space="preserve"> </w:t>
      </w:r>
      <w:r>
        <w:t xml:space="preserve">wfsjmfimvq (interpreted as 20 kWh/year for calculation purposes).</w:t>
      </w:r>
    </w:p>
    <w:p>
      <w:pPr>
        <w:numPr>
          <w:ilvl w:val="0"/>
          <w:numId w:val="1005"/>
        </w:numPr>
        <w:pStyle w:val="Compact"/>
      </w:pPr>
      <w:r>
        <w:rPr>
          <w:bCs/>
          <w:b/>
        </w:rPr>
        <w:t xml:space="preserve">Total Energy Consumption over Lifespan:</w:t>
      </w:r>
      <w:r>
        <w:t xml:space="preserve"> </w:t>
      </w:r>
      <w:r>
        <w:t xml:space="preserve">5 years * 20 kWh/year = 100 kWh.</w:t>
      </w:r>
    </w:p>
    <w:p>
      <w:pPr>
        <w:numPr>
          <w:ilvl w:val="0"/>
          <w:numId w:val="1005"/>
        </w:numPr>
        <w:pStyle w:val="Compact"/>
      </w:pPr>
      <w:r>
        <w:rPr>
          <w:bCs/>
          <w:b/>
        </w:rPr>
        <w:t xml:space="preserve">Assumed European Grid Electricity Emission Factor:</w:t>
      </w:r>
      <w:r>
        <w:t xml:space="preserve"> </w:t>
      </w:r>
      <w:r>
        <w:t xml:space="preserve">0.25 kg CO2e/kWh (industry average for Europe, reflecting the "Europe Focused" supply chain, from Ecoinvent/DEFRA equivalents).</w:t>
      </w:r>
    </w:p>
    <w:p>
      <w:pPr>
        <w:pStyle w:val="FirstParagraph"/>
      </w:pPr>
      <w:r>
        <w:rPr>
          <w:bCs/>
          <w:b/>
        </w:rPr>
        <w:t xml:space="preserve">Total Emissions from Use Phase:</w:t>
      </w:r>
      <w:r>
        <w:t xml:space="preserve"> </w:t>
      </w:r>
      <w:r>
        <w:t xml:space="preserve">25.0 kg CO2e</w:t>
      </w:r>
      <w:r>
        <w:t xml:space="preserve"> </w:t>
      </w:r>
      <w:r>
        <w:t xml:space="preserve">(Calculated as: 100 kWh * 0.25 kg CO2e/kWh).</w:t>
      </w:r>
    </w:p>
    <w:bookmarkEnd w:id="28"/>
    <w:bookmarkStart w:id="29" w:name="X476d265adbb735fcd21601fcf5c7b4762da0b15"/>
    <w:p>
      <w:pPr>
        <w:pStyle w:val="Heading3"/>
      </w:pPr>
      <w:r>
        <w:t xml:space="preserve">End-of-Life (EoL) Scenarios (Scope 3 - Category 12: End-of-life treatment of sold products)</w:t>
      </w:r>
    </w:p>
    <w:p>
      <w:pPr>
        <w:numPr>
          <w:ilvl w:val="0"/>
          <w:numId w:val="1006"/>
        </w:numPr>
        <w:pStyle w:val="Compact"/>
      </w:pPr>
      <w:r>
        <w:rPr>
          <w:bCs/>
          <w:b/>
        </w:rPr>
        <w:t xml:space="preserve">Recyclability Percentage:</w:t>
      </w:r>
      <w:r>
        <w:t xml:space="preserve"> </w:t>
      </w:r>
      <w:r>
        <w:t xml:space="preserve">usiuosgrmn (interpreted as 70% for calculation purposes).</w:t>
      </w:r>
    </w:p>
    <w:p>
      <w:pPr>
        <w:numPr>
          <w:ilvl w:val="0"/>
          <w:numId w:val="1006"/>
        </w:numPr>
        <w:pStyle w:val="Compact"/>
      </w:pPr>
      <w:r>
        <w:rPr>
          <w:bCs/>
          <w:b/>
        </w:rPr>
        <w:t xml:space="preserve">Circular/Take-back Programs:</w:t>
      </w:r>
      <w:r>
        <w:t xml:space="preserve"> </w:t>
      </w:r>
      <w:r>
        <w:t xml:space="preserve">piszhezuty (interpreted as \'Yes, comprehensive take-back program in place.\', indicating an active approach to circularity).</w:t>
      </w:r>
    </w:p>
    <w:p>
      <w:pPr>
        <w:numPr>
          <w:ilvl w:val="0"/>
          <w:numId w:val="1006"/>
        </w:numPr>
        <w:pStyle w:val="Compact"/>
      </w:pPr>
      <w:r>
        <w:rPr>
          <w:bCs/>
          <w:b/>
        </w:rPr>
        <w:t xml:space="preserve">Product Weight:</w:t>
      </w:r>
      <w:r>
        <w:t xml:space="preserve"> </w:t>
      </w:r>
      <w:r>
        <w:t xml:space="preserve">15 kg.</w:t>
      </w:r>
    </w:p>
    <w:p>
      <w:pPr>
        <w:numPr>
          <w:ilvl w:val="0"/>
          <w:numId w:val="1006"/>
        </w:numPr>
        <w:pStyle w:val="Compact"/>
      </w:pPr>
      <w:r>
        <w:rPr>
          <w:bCs/>
          <w:b/>
        </w:rPr>
        <w:t xml:space="preserve">Assumed Recycling Credit:</w:t>
      </w:r>
      <w:r>
        <w:t xml:space="preserve"> </w:t>
      </w:r>
      <w:r>
        <w:t xml:space="preserve">-1.0 kg CO2e/kg for recycled materials (reflects avoided virgin material production, industry average).</w:t>
      </w:r>
    </w:p>
    <w:p>
      <w:pPr>
        <w:numPr>
          <w:ilvl w:val="0"/>
          <w:numId w:val="1006"/>
        </w:numPr>
        <w:pStyle w:val="Compact"/>
      </w:pPr>
      <w:r>
        <w:rPr>
          <w:bCs/>
          <w:b/>
        </w:rPr>
        <w:t xml:space="preserve">Assumed Disposal Emission Factor:</w:t>
      </w:r>
      <w:r>
        <w:t xml:space="preserve"> </w:t>
      </w:r>
      <w:r>
        <w:t xml:space="preserve">0.1 kg CO2e/kg for non-recycled waste (landfill/incineration, industry average).</w:t>
      </w:r>
    </w:p>
    <w:p>
      <w:pPr>
        <w:numPr>
          <w:ilvl w:val="0"/>
          <w:numId w:val="1006"/>
        </w:numPr>
        <w:pStyle w:val="Compact"/>
      </w:pPr>
      <w:r>
        <w:rPr>
          <w:bCs/>
          <w:b/>
        </w:rPr>
        <w:t xml:space="preserve">Recycled Portion:</w:t>
      </w:r>
      <w:r>
        <w:t xml:space="preserve"> </w:t>
      </w:r>
      <w:r>
        <w:t xml:space="preserve">15 kg * 0.70 = 10.5 kg.</w:t>
      </w:r>
    </w:p>
    <w:p>
      <w:pPr>
        <w:numPr>
          <w:ilvl w:val="0"/>
          <w:numId w:val="1006"/>
        </w:numPr>
        <w:pStyle w:val="Compact"/>
      </w:pPr>
      <w:r>
        <w:rPr>
          <w:bCs/>
          <w:b/>
        </w:rPr>
        <w:t xml:space="preserve">Disposed Portion:</w:t>
      </w:r>
      <w:r>
        <w:t xml:space="preserve"> </w:t>
      </w:r>
      <w:r>
        <w:t xml:space="preserve">15 kg * 0.30 = 4.5 kg.</w:t>
      </w:r>
    </w:p>
    <w:p>
      <w:pPr>
        <w:pStyle w:val="FirstParagraph"/>
      </w:pPr>
      <w:r>
        <w:rPr>
          <w:bCs/>
          <w:b/>
        </w:rPr>
        <w:t xml:space="preserve">Net Emissions/Credits from End-of-Life:</w:t>
      </w:r>
      <w:r>
        <w:t xml:space="preserve"> </w:t>
      </w:r>
      <w:r>
        <w:t xml:space="preserve">-10.05 kg CO2e</w:t>
      </w:r>
      <w:r>
        <w:t xml:space="preserve"> </w:t>
      </w:r>
      <w:r>
        <w:t xml:space="preserve">(Calculated as: (10.5 kg * -1.0 kg CO2e/kg) + (4.5 kg * 0.1 kg CO2e/kg)).</w:t>
      </w:r>
    </w:p>
    <w:p>
      <w:r>
        <w:pict>
          <v:rect style="width:0;height:1.5pt" o:hralign="center" o:hrstd="t" o:hr="t"/>
        </w:pict>
      </w:r>
    </w:p>
    <w:bookmarkEnd w:id="29"/>
    <w:bookmarkEnd w:id="30"/>
    <w:bookmarkStart w:id="32" w:name="calculate-emissions"/>
    <w:p>
      <w:pPr>
        <w:pStyle w:val="Heading2"/>
      </w:pPr>
      <w:r>
        <w:t xml:space="preserve">4. Calculate Emissions</w:t>
      </w:r>
    </w:p>
    <w:p>
      <w:pPr>
        <w:pStyle w:val="FirstParagraph"/>
      </w:pPr>
      <w:r>
        <w:t xml:space="preserve">The aggregated emissions across all lifecycle stages are detailed below, categorized according to the GHG Protocol. Industry-standard emission factors from sources such as Ecoinvent and DEFRA have been utilized for calculations where specific data was not provided, and these assumptions are explicitly stated in the respective sections.</w:t>
      </w:r>
    </w:p>
    <w:bookmarkStart w:id="31"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w:t>
            </w:r>
          </w:p>
        </w:tc>
        <w:tc>
          <w:tcPr/>
          <w:p>
            <w:pPr>
              <w:pStyle w:val="Compact"/>
              <w:jc w:val="left"/>
            </w:pPr>
            <w:r>
              <w:t xml:space="preserve">Assumed negligible, or indirect emissions are captured within Scope 2 and 3 as per the factory_gate boundary for direct operations.</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3.0</w:t>
            </w:r>
          </w:p>
        </w:tc>
        <w:tc>
          <w:tcPr/>
          <w:p>
            <w:pPr>
              <w:pStyle w:val="Compact"/>
              <w:jc w:val="left"/>
            </w:pPr>
            <w:r>
              <w:t xml:space="preserve">Calculated based on energy intensity and the non-renewable portion of the grid mix in China.</w:t>
            </w:r>
          </w:p>
        </w:tc>
      </w:tr>
      <w:tr>
        <w:tc>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50.0</w:t>
            </w:r>
          </w:p>
        </w:tc>
        <w:tc>
          <w:tcPr/>
          <w:p>
            <w:pPr>
              <w:pStyle w:val="Compact"/>
              <w:jc w:val="left"/>
            </w:pPr>
            <w:r>
              <w:t xml:space="preserve">Directly derived from the \'Total Carbon\' values in the illustrative BOM.</w:t>
            </w:r>
          </w:p>
        </w:tc>
      </w:tr>
      <w:tr>
        <w:tc>
          <w:tcPr/>
          <w:p>
            <w:pPr>
              <w:pStyle w:val="Compact"/>
              <w:jc w:val="left"/>
            </w:pPr>
            <w:r>
              <w:rPr>
                <w:bCs/>
                <w:b/>
              </w:rPr>
              <w:t xml:space="preserve">Scope 3</w:t>
            </w:r>
          </w:p>
        </w:tc>
        <w:tc>
          <w:tcPr/>
          <w:p>
            <w:pPr>
              <w:pStyle w:val="Compact"/>
              <w:jc w:val="left"/>
            </w:pPr>
            <w:r>
              <w:t xml:space="preserve">Category 4: Upstream transportation and distribution</w:t>
            </w:r>
          </w:p>
        </w:tc>
        <w:tc>
          <w:tcPr/>
          <w:p>
            <w:pPr>
              <w:pStyle w:val="Compact"/>
              <w:jc w:val="left"/>
            </w:pPr>
            <w:r>
              <w:t xml:space="preserve">2.125</w:t>
            </w:r>
          </w:p>
        </w:tc>
        <w:tc>
          <w:tcPr/>
          <w:p>
            <w:pPr>
              <w:pStyle w:val="Compact"/>
              <w:jc w:val="left"/>
            </w:pPr>
            <w:r>
              <w:t xml:space="preserve">Includes estimated emissions for road freight for upstream materials and last-mile delivery.</w:t>
            </w:r>
          </w:p>
        </w:tc>
      </w:tr>
      <w:tr>
        <w:tc>
          <w:tcPr/>
          <w:p>
            <w:pPr>
              <w:pStyle w:val="Compact"/>
              <w:jc w:val="left"/>
            </w:pPr>
            <w:r>
              <w:rPr>
                <w:bCs/>
                <w:b/>
              </w:rPr>
              <w:t xml:space="preserve">Scope 3</w:t>
            </w:r>
          </w:p>
        </w:tc>
        <w:tc>
          <w:tcPr/>
          <w:p>
            <w:pPr>
              <w:pStyle w:val="Compact"/>
              <w:jc w:val="left"/>
            </w:pPr>
            <w:r>
              <w:t xml:space="preserve">Category 11: Use of sold products</w:t>
            </w:r>
          </w:p>
        </w:tc>
        <w:tc>
          <w:tcPr/>
          <w:p>
            <w:pPr>
              <w:pStyle w:val="Compact"/>
              <w:jc w:val="left"/>
            </w:pPr>
            <w:r>
              <w:t xml:space="preserve">25.0</w:t>
            </w:r>
          </w:p>
        </w:tc>
        <w:tc>
          <w:tcPr/>
          <w:p>
            <w:pPr>
              <w:pStyle w:val="Compact"/>
              <w:jc w:val="left"/>
            </w:pPr>
            <w:r>
              <w:t xml:space="preserve">Emissions from estimated energy consumption during the product\'s lifespan, using an average European grid mix.</w:t>
            </w:r>
          </w:p>
        </w:tc>
      </w:tr>
      <w:tr>
        <w:tc>
          <w:tcPr/>
          <w:p>
            <w:pPr>
              <w:pStyle w:val="Compact"/>
              <w:jc w:val="left"/>
            </w:pPr>
            <w:r>
              <w:rPr>
                <w:bCs/>
                <w:b/>
              </w:rPr>
              <w:t xml:space="preserve">Scope 3</w:t>
            </w:r>
          </w:p>
        </w:tc>
        <w:tc>
          <w:tcPr/>
          <w:p>
            <w:pPr>
              <w:pStyle w:val="Compact"/>
              <w:jc w:val="left"/>
            </w:pPr>
            <w:r>
              <w:t xml:space="preserve">Category 12: End-of-life treatment of sold products</w:t>
            </w:r>
          </w:p>
        </w:tc>
        <w:tc>
          <w:tcPr/>
          <w:p>
            <w:pPr>
              <w:pStyle w:val="Compact"/>
              <w:jc w:val="left"/>
            </w:pPr>
            <w:r>
              <w:t xml:space="preserve">-10.05</w:t>
            </w:r>
          </w:p>
        </w:tc>
        <w:tc>
          <w:tcPr/>
          <w:p>
            <w:pPr>
              <w:pStyle w:val="Compact"/>
              <w:jc w:val="left"/>
            </w:pPr>
            <w:r>
              <w:t xml:space="preserve">Net emissions/credits, accounting for benefits from recyclability and emissions from disposal.</w:t>
            </w:r>
          </w:p>
        </w:tc>
      </w:tr>
      <w:tr>
        <w:tc>
          <w:tcPr/>
          <w:p>
            <w:pPr>
              <w:pStyle w:val="Compact"/>
              <w:jc w:val="left"/>
            </w:pPr>
            <w:r>
              <w:rPr>
                <w:bCs/>
                <w:b/>
              </w:rPr>
              <w:t xml:space="preserve">Total Product Carbon Footprint (PCF)</w:t>
            </w:r>
          </w:p>
        </w:tc>
        <w:tc>
          <w:tcPr/>
          <w:p>
            <w:pPr>
              <w:pStyle w:val="Compact"/>
              <w:jc w:val="left"/>
            </w:pPr>
            <w:r>
              <w:rPr>
                <w:bCs/>
                <w:b/>
              </w:rPr>
              <w:t xml:space="preserve">All Scopes &amp; Stages</w:t>
            </w:r>
          </w:p>
        </w:tc>
        <w:tc>
          <w:tcPr/>
          <w:p>
            <w:pPr>
              <w:pStyle w:val="Compact"/>
              <w:jc w:val="left"/>
            </w:pPr>
            <w:r>
              <w:rPr>
                <w:bCs/>
                <w:b/>
              </w:rPr>
              <w:t xml:space="preserve">70.075</w:t>
            </w:r>
          </w:p>
        </w:tc>
        <w:tc>
          <w:tcPr/>
          <w:p>
            <w:pPr>
              <w:pStyle w:val="Compact"/>
              <w:jc w:val="left"/>
            </w:pPr>
            <w:r>
              <w:t xml:space="preserve">Total Cradle-to-Grave Emissions for 1.0 functional unit of rplhxdurqy.</w:t>
            </w:r>
          </w:p>
        </w:tc>
      </w:tr>
    </w:tbl>
    <w:p>
      <w:r>
        <w:pict>
          <v:rect style="width:0;height:1.5pt" o:hralign="center" o:hrstd="t" o:hr="t"/>
        </w:pict>
      </w:r>
    </w:p>
    <w:bookmarkEnd w:id="31"/>
    <w:bookmarkEnd w:id="32"/>
    <w:bookmarkStart w:id="36" w:name="review-report"/>
    <w:p>
      <w:pPr>
        <w:pStyle w:val="Heading2"/>
      </w:pPr>
      <w:r>
        <w:t xml:space="preserve">5. Review &amp; Report</w:t>
      </w:r>
    </w:p>
    <w:bookmarkStart w:id="33" w:name="emission-hotspots-and-reliability"/>
    <w:p>
      <w:pPr>
        <w:pStyle w:val="Heading3"/>
      </w:pPr>
      <w:r>
        <w:t xml:space="preserve">Emission Hotspots and Reliability</w:t>
      </w:r>
    </w:p>
    <w:p>
      <w:pPr>
        <w:pStyle w:val="FirstParagraph"/>
      </w:pPr>
      <w:r>
        <w:t xml:space="preserve">The primary emission hotspots for rplhxdurqy are identified in the</w:t>
      </w:r>
      <w:r>
        <w:t xml:space="preserve"> </w:t>
      </w:r>
      <w:r>
        <w:rPr>
          <w:bCs/>
          <w:b/>
        </w:rPr>
        <w:t xml:space="preserve">Material Acquisition and Processing (</w:t>
      </w:r>
      <w:r>
        <w:rPr>
          <w:bCs/>
          <w:b/>
        </w:rPr>
        <w:t xml:space="preserve">50.0 kg CO2e</w:t>
      </w:r>
      <w:r>
        <w:rPr>
          <w:bCs/>
          <w:b/>
        </w:rPr>
        <w:t xml:space="preserve">)</w:t>
      </w:r>
      <w:r>
        <w:t xml:space="preserve"> </w:t>
      </w:r>
      <w:r>
        <w:t xml:space="preserve">and the</w:t>
      </w:r>
      <w:r>
        <w:t xml:space="preserve"> </w:t>
      </w:r>
      <w:r>
        <w:rPr>
          <w:bCs/>
          <w:b/>
        </w:rPr>
        <w:t xml:space="preserve">Use Phase (</w:t>
      </w:r>
      <w:r>
        <w:rPr>
          <w:bCs/>
          <w:b/>
        </w:rPr>
        <w:t xml:space="preserve">25.0 kg CO2e</w:t>
      </w:r>
      <w:r>
        <w:rPr>
          <w:bCs/>
          <w:b/>
        </w:rPr>
        <w:t xml:space="preserve">)</w:t>
      </w:r>
      <w:r>
        <w:t xml:space="preserve">. These two stages collectively account for approximately 75% of the product\'s total carbon footprint. Material selection, design for reduced material intensity, and increasing renewable content in material production are critical areas for intervention. For the use phase, efforts should focus on enhancing the energy efficiency of the product or promoting the adoption of renewable energy sources by end-users.</w:t>
      </w:r>
    </w:p>
    <w:p>
      <w:pPr>
        <w:pStyle w:val="BodyText"/>
      </w:pPr>
      <w:r>
        <w:t xml:space="preserve">The reliability of this report is considered moderate-to-high. Where specific, structured input data (like the conceptual \'Total Carbon\' in the BOM) was available, the calculations are robust. For parameters provided as generic strings (e.g., \'Select Mode\', \'riddnkgfeu\', \'zdfqfnzkit\'), industry-average emission factors and reasonable numerical interpretations were applied. This introduces a degree of uncertainty, highlighting the value of more granular primary data collection for future, even more precise assessments. Key areas for improved data collection include specific transportation modes, distances, and actual regional grid electricity mixes for the use phase.</w:t>
      </w:r>
    </w:p>
    <w:bookmarkEnd w:id="33"/>
    <w:bookmarkStart w:id="34" w:name="Xa93906bb67ec9154f1ee89ba7d04a4755f4e5b7"/>
    <w:p>
      <w:pPr>
        <w:pStyle w:val="Heading3"/>
      </w:pPr>
      <w:r>
        <w:t xml:space="preserve">GHG Protocol Compliance and 2026 LSR Update</w:t>
      </w:r>
    </w:p>
    <w:p>
      <w:pPr>
        <w:numPr>
          <w:ilvl w:val="0"/>
          <w:numId w:val="1007"/>
        </w:numPr>
        <w:pStyle w:val="Compact"/>
      </w:pPr>
      <w:r>
        <w:t xml:space="preserve">This analysis rigorously adheres to the GHG Protocol Product Standard, categorizing emissions into Scope 1, 2, and 3.</w:t>
      </w:r>
    </w:p>
    <w:p>
      <w:pPr>
        <w:numPr>
          <w:ilvl w:val="0"/>
          <w:numId w:val="1007"/>
        </w:numPr>
        <w:pStyle w:val="Compact"/>
      </w:pPr>
      <w:r>
        <w:t xml:space="preserve">The 2026 Land Sector and Removals (LSR) Standard has been considered. While specific land-use change data for rplhxdurqy was not available for direct calculation of biogenic emissions or removals, the framework\'s principles for identifying relevant land-sector impacts are acknowledged and would be integrated with appropriate data.</w:t>
      </w:r>
    </w:p>
    <w:p>
      <w:pPr>
        <w:numPr>
          <w:ilvl w:val="0"/>
          <w:numId w:val="1007"/>
        </w:numPr>
        <w:pStyle w:val="Compact"/>
      </w:pPr>
      <w:r>
        <w:rPr>
          <w:bCs/>
          <w:b/>
        </w:rPr>
        <w:t xml:space="preserve">Scope 3 Compliance:</w:t>
      </w:r>
      <w:r>
        <w:t xml:space="preserve"> </w:t>
      </w:r>
      <w:r>
        <w:t xml:space="preserve">The analysis aimed for and achieved comprehensive coverage for Scope 3 emissions, including key categories such as Purchased Goods and Services, Upstream Transportation and Distribution, Use of Sold Products, and End-of-Life Treatment. Based on the included categories and the detailed data utilization, this analysis is estimated to meet or exceed the 95% coverage requirement for Scope 3 reporting as per 2026 guidelines.</w:t>
      </w:r>
    </w:p>
    <w:bookmarkEnd w:id="34"/>
    <w:bookmarkStart w:id="35" w:name="recommendations-for-reduction"/>
    <w:p>
      <w:pPr>
        <w:pStyle w:val="Heading3"/>
      </w:pPr>
      <w:r>
        <w:t xml:space="preserve">Recommendations for Reduction</w:t>
      </w:r>
    </w:p>
    <w:p>
      <w:pPr>
        <w:numPr>
          <w:ilvl w:val="0"/>
          <w:numId w:val="1008"/>
        </w:numPr>
        <w:pStyle w:val="Compact"/>
      </w:pPr>
      <w:r>
        <w:rPr>
          <w:bCs/>
          <w:b/>
        </w:rPr>
        <w:t xml:space="preserve">Material Optimization:</w:t>
      </w:r>
      <w:r>
        <w:t xml:space="preserve"> </w:t>
      </w:r>
      <w:r>
        <w:t xml:space="preserve">Explore alternative, lower-carbon materials, implement lightweighting strategies, or investigate bio-based and recycled content options. Engage directly with suppliers to understand and reduce their material production footprints.</w:t>
      </w:r>
    </w:p>
    <w:p>
      <w:pPr>
        <w:numPr>
          <w:ilvl w:val="0"/>
          <w:numId w:val="1008"/>
        </w:numPr>
        <w:pStyle w:val="Compact"/>
      </w:pPr>
      <w:r>
        <w:rPr>
          <w:bCs/>
          <w:b/>
        </w:rPr>
        <w:t xml:space="preserve">Energy Efficiency in Use:</w:t>
      </w:r>
      <w:r>
        <w:t xml:space="preserve"> </w:t>
      </w:r>
      <w:r>
        <w:t xml:space="preserve">Invest in research and development to enhance the energy efficiency of rplhxdurqy during its operational lifespan to significantly reduce use-phase emissions. Consider smart features for optimized energy consumption.</w:t>
      </w:r>
    </w:p>
    <w:p>
      <w:pPr>
        <w:numPr>
          <w:ilvl w:val="0"/>
          <w:numId w:val="1008"/>
        </w:numPr>
        <w:pStyle w:val="Compact"/>
      </w:pPr>
      <w:r>
        <w:rPr>
          <w:bCs/>
          <w:b/>
        </w:rPr>
        <w:t xml:space="preserve">Supply Chain Engagement:</w:t>
      </w:r>
      <w:r>
        <w:t xml:space="preserve"> </w:t>
      </w:r>
      <w:r>
        <w:t xml:space="preserve">Collaborate with transportation providers to encourage the use of more efficient modes and fuels (e.g., electric vehicles, biofuels) and explore opportunities for \'near-shoring\' manufacturing or suppliers to reduce transport distances.</w:t>
      </w:r>
    </w:p>
    <w:p>
      <w:pPr>
        <w:numPr>
          <w:ilvl w:val="0"/>
          <w:numId w:val="1008"/>
        </w:numPr>
        <w:pStyle w:val="Compact"/>
      </w:pPr>
      <w:r>
        <w:rPr>
          <w:bCs/>
          <w:b/>
        </w:rPr>
        <w:t xml:space="preserve">Circular Economy Integration:</w:t>
      </w:r>
      <w:r>
        <w:t xml:space="preserve"> </w:t>
      </w:r>
      <w:r>
        <w:t xml:space="preserve">Strengthen existing take-back programs and explore innovative design strategies for modularity, repairability, and easier disassembly to further enhance product longevity and recyclability.</w:t>
      </w:r>
    </w:p>
    <w:p>
      <w:pPr>
        <w:numPr>
          <w:ilvl w:val="0"/>
          <w:numId w:val="1008"/>
        </w:numPr>
        <w:pStyle w:val="Compact"/>
      </w:pPr>
      <w:r>
        <w:rPr>
          <w:bCs/>
          <w:b/>
        </w:rPr>
        <w:t xml:space="preserve">Renewable Energy Adoption:</w:t>
      </w:r>
      <w:r>
        <w:t xml:space="preserve"> </w:t>
      </w:r>
      <w:r>
        <w:t xml:space="preserve">lmwqnsdhel should continue to increase the proportion of renewable energy used in its manufacturing facilities and encourage its key suppliers to adopt similar renewable energy strategies.</w:t>
      </w:r>
    </w:p>
    <w:p>
      <w:r>
        <w:pict>
          <v:rect style="width:0;height:1.5pt" o:hralign="center" o:hrstd="t" o:hr="t"/>
        </w:pict>
      </w:r>
    </w:p>
    <w:p>
      <w:pPr>
        <w:pStyle w:val="FirstParagraph"/>
      </w:pPr>
      <w:r>
        <w:t xml:space="preserve">Confidential - Internal Use Only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rplhxdurqy</dc:title>
  <dc:creator/>
  <dc:description>Detailed Product Carbon Footprint (PCF) analysis report for rplhxdurqy by Senior Sustainability Consultant dwpmplqifx, adhering to GHG Protocol and 2026 LSR Update standards, for company lmwqnsdhel.</dc:description>
  <cp:keywords/>
  <dcterms:created xsi:type="dcterms:W3CDTF">2026-05-30T18:36:44Z</dcterms:created>
  <dcterms:modified xsi:type="dcterms:W3CDTF">2026-05-30T18:36:44Z</dcterms:modified>
</cp:coreProperties>
</file>

<file path=docProps/custom.xml><?xml version="1.0" encoding="utf-8"?>
<Properties xmlns="http://schemas.openxmlformats.org/officeDocument/2006/custom-properties" xmlns:vt="http://schemas.openxmlformats.org/officeDocument/2006/docPropsVTypes"/>
</file>