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roieiguxvw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roieiguxvw</w:t>
      </w:r>
    </w:p>
    <w:p>
      <w:pPr>
        <w:pStyle w:val="BodyText"/>
      </w:pPr>
      <w:r>
        <w:rPr>
          <w:bCs/>
          <w:b/>
        </w:rPr>
        <w:t xml:space="preserve">Company Name:</w:t>
      </w:r>
      <w:r>
        <w:t xml:space="preserve"> </w:t>
      </w:r>
      <w:r>
        <w:t xml:space="preserve">qndxhizhhj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qeofzjvkul</w:t>
      </w:r>
    </w:p>
    <w:p>
      <w:pPr>
        <w:pStyle w:val="BodyText"/>
      </w:pPr>
      <w:r>
        <w:t xml:space="preserve">This report is generated based on available data, illustrative examples for placeholder parameters, and industry standards. While every effort has been made to ensure accuracy and adherence to the specified methodologies, the results are indicative and subject to the precision and completeness of the input data.</w:t>
      </w:r>
    </w:p>
    <w:bookmarkEnd w:id="20"/>
    <w:bookmarkStart w:id="22" w:name="Xf659727b8eb2f651b7145d898c1f30da366e58e"/>
    <w:p>
      <w:pPr>
        <w:pStyle w:val="Heading1"/>
      </w:pPr>
      <w:r>
        <w:t xml:space="preserve">Product Carbon Footprint Analysis for roieiguxvw</w:t>
      </w:r>
    </w:p>
    <w:p>
      <w:pPr>
        <w:pStyle w:val="FirstParagraph"/>
      </w:pPr>
      <w:r>
        <w:t xml:space="preserve">Generated Date:</w:t>
      </w:r>
      <w:r>
        <w:t xml:space="preserve"> </w:t>
      </w:r>
      <w:bookmarkStart w:id="21" w:name="generated-date"/>
      <w:bookmarkEnd w:id="21"/>
    </w:p>
    <w:bookmarkEnd w:id="22"/>
    <w:bookmarkStart w:id="23" w:name="executive-summary"/>
    <w:p>
      <w:pPr>
        <w:pStyle w:val="Heading2"/>
      </w:pPr>
      <w:r>
        <w:t xml:space="preserve">Executive Summary</w:t>
      </w:r>
    </w:p>
    <w:p>
      <w:pPr>
        <w:pStyle w:val="FirstParagraph"/>
      </w:pPr>
      <w:r>
        <w:t xml:space="preserve">This high-detail Product Carbon Footprint (PCF) analysis, conducted by Senior Sustainability Consultant qeofzjvkul for qndxhizhhj, quantifies the greenhouse gas (GHG) emissions associated with the product roieiguxvw. Adhering strictly to the GHG Protocol, this report evaluates emissions across the product\'s lifecycle, from raw material extraction to end-of-life, with a primary system boundary of "factory gate" supplemented by comprehensive downstream analysis. The aim is to identify major emission hotspots and provide actionable insights for qndxhizhhj\'s sustainability strategy. Key areas of focus include material impacts, production energy, transportation, the use phase, and end-of-life scenarios. This analysis also incorporates the latest 2026 Land Sector and Removals (LSR) Standard updates and aims for at least 95% Scope 3 coverage.</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initial step in conducting a Product Carbon Footprint (PCF) analysis is to clearly define the goal and scope, ensuring consistency and comparability of results.</w:t>
      </w:r>
    </w:p>
    <w:p>
      <w:pPr>
        <w:numPr>
          <w:ilvl w:val="0"/>
          <w:numId w:val="1001"/>
        </w:numPr>
        <w:pStyle w:val="Compact"/>
      </w:pPr>
      <w:r>
        <w:rPr>
          <w:bCs/>
          <w:b/>
        </w:rPr>
        <w:t xml:space="preserve">Product Name:</w:t>
      </w:r>
      <w:r>
        <w:t xml:space="preserve"> </w:t>
      </w:r>
      <w:r>
        <w:t xml:space="preserve">roieiguxvw</w:t>
      </w:r>
    </w:p>
    <w:p>
      <w:pPr>
        <w:numPr>
          <w:ilvl w:val="0"/>
          <w:numId w:val="1001"/>
        </w:numPr>
        <w:pStyle w:val="Compact"/>
      </w:pPr>
      <w:r>
        <w:rPr>
          <w:bCs/>
          <w:b/>
        </w:rPr>
        <w:t xml:space="preserve">Functional Unit:</w:t>
      </w:r>
      <w:r>
        <w:t xml:space="preserve"> </w:t>
      </w:r>
      <w:r>
        <w:t xml:space="preserve">1.0 unit. The functional unit serves as the reference against which all emissions are measured, enabling consistent evaluation.</w:t>
      </w:r>
    </w:p>
    <w:p>
      <w:pPr>
        <w:numPr>
          <w:ilvl w:val="0"/>
          <w:numId w:val="1001"/>
        </w:numPr>
        <w:pStyle w:val="Compact"/>
      </w:pPr>
      <w:r>
        <w:rPr>
          <w:bCs/>
          <w:b/>
        </w:rPr>
        <w:t xml:space="preserve">System Boundary:</w:t>
      </w:r>
      <w:r>
        <w:t xml:space="preserve"> </w:t>
      </w:r>
      <w:r>
        <w:t xml:space="preserve">Initially set as</w:t>
      </w:r>
      <w:r>
        <w:t xml:space="preserve"> </w:t>
      </w:r>
      <w:r>
        <w:rPr>
          <w:bCs/>
          <w:b/>
        </w:rPr>
        <w:t xml:space="preserve">factory_gate</w:t>
      </w:r>
      <w:r>
        <w:t xml:space="preserve">. This means the primary PCF calculation covers all processes from raw material acquisition up to the point the product leaves the factory gate, including manufacturing and internal packaging. However, as explicitly requested by the prompt, this analysis expands beyond a strict "cradle-to-gate" boundary to include downstream impacts from transportation to customer, the product\'s use phase, and end-of-life treatment to provide a more comprehensive "cradle-to-grave" understanding of the product\'s environmental footprint. These downstream impacts are categorized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downstream distribution/use often involve Europe).</w:t>
      </w:r>
    </w:p>
    <w:p>
      <w:pPr>
        <w:numPr>
          <w:ilvl w:val="0"/>
          <w:numId w:val="1001"/>
        </w:numPr>
        <w:pStyle w:val="Compact"/>
      </w:pPr>
      <w:r>
        <w:rPr>
          <w:bCs/>
          <w:b/>
        </w:rPr>
        <w:t xml:space="preserve">Allocation:</w:t>
      </w:r>
      <w:r>
        <w:t xml:space="preserve"> </w:t>
      </w:r>
      <w:r>
        <w:t xml:space="preserve">Emissions from multi-functional processes (e.g., co-production) are allocated based on mass allocation for materials and energy, aligning with standard LCA practices where specific data is unavailable.</w:t>
      </w:r>
    </w:p>
    <w:p>
      <w:pPr>
        <w:numPr>
          <w:ilvl w:val="0"/>
          <w:numId w:val="1001"/>
        </w:numPr>
        <w:pStyle w:val="Compact"/>
      </w:pPr>
      <w:r>
        <w:rPr>
          <w:bCs/>
          <w:b/>
        </w:rPr>
        <w:t xml:space="preserve">Accounting Standard:</w:t>
      </w:r>
      <w:r>
        <w:t xml:space="preserve"> </w:t>
      </w:r>
      <w:r>
        <w:t xml:space="preserve">GHG Protocol Product Standard. This internationally recognized standard provides the framework for quantifying and reporting GHG emissions for products.</w:t>
      </w:r>
    </w:p>
    <w:p>
      <w:r>
        <w:pict>
          <v:rect style="width:0;height:1.5pt" o:hralign="center" o:hrstd="t" o:hr="t"/>
        </w:pict>
      </w:r>
    </w:p>
    <w:bookmarkEnd w:id="24"/>
    <w:bookmarkStart w:id="30" w:name="lifecycle-mapping-and-data-collection"/>
    <w:p>
      <w:pPr>
        <w:pStyle w:val="Heading2"/>
      </w:pPr>
      <w:r>
        <w:t xml:space="preserve">2. &amp; 3. Lifecycle Mapping and Data Collection</w:t>
      </w:r>
    </w:p>
    <w:p>
      <w:pPr>
        <w:pStyle w:val="FirstParagraph"/>
      </w:pPr>
      <w:r>
        <w:t xml:space="preserve">This section details the various stages of the product\'s lifecycle and the data collected for each stage. Due to the placeholder nature of some input parameters, illustrative examples and industry-average emission factors have been utilized for calculation, and this is clearly stated for transparency.</w:t>
      </w:r>
    </w:p>
    <w:bookmarkStart w:id="25" w:name="X99534d3491f1be0f49b57acaf828e881b6d5c21"/>
    <w:p>
      <w:pPr>
        <w:pStyle w:val="Heading3"/>
      </w:pPr>
      <w:r>
        <w:t xml:space="preserve">2.1. Material Acquisition &amp; Processing (Upstream - Scope 3, Category 1)</w:t>
      </w:r>
    </w:p>
    <w:p>
      <w:pPr>
        <w:pStyle w:val="FirstParagraph"/>
      </w:pPr>
      <w:r>
        <w:t xml:space="preserve">The Detailed Bill of Materials (BOM) for roieiguxvw is critical for calculating the embodied emissions in purchased goods and services. The following data, based on the provided parameter `gqrryrjl`, serves as an illustrative example for a complex product:</w:t>
      </w:r>
    </w:p>
    <w:p>
      <w:pPr>
        <w:pStyle w:val="BodyText"/>
      </w:pPr>
      <w:r>
        <w:rPr>
          <w:iCs/>
          <w:i/>
        </w:rPr>
        <w:t xml:space="preserve">Illustrative BOM Data (based on \'gqrryrjl\'):</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 (6061)</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0.25 kg</w:t>
            </w:r>
          </w:p>
        </w:tc>
        <w:tc>
          <w:tcPr/>
          <w:p>
            <w:pPr>
              <w:pStyle w:val="Compact"/>
              <w:jc w:val="left"/>
            </w:pPr>
            <w:r>
              <w:t xml:space="preserve">8.00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ABS Plastic Pellets</w:t>
            </w:r>
          </w:p>
        </w:tc>
        <w:tc>
          <w:tcPr/>
          <w:p>
            <w:pPr>
              <w:pStyle w:val="Compact"/>
              <w:jc w:val="left"/>
            </w:pPr>
            <w:r>
              <w:t xml:space="preserve">Polymer</w:t>
            </w:r>
          </w:p>
        </w:tc>
        <w:tc>
          <w:tcPr/>
          <w:p>
            <w:pPr>
              <w:pStyle w:val="Compact"/>
              <w:jc w:val="left"/>
            </w:pPr>
            <w:r>
              <w:t xml:space="preserve">Polymerization</w:t>
            </w:r>
          </w:p>
        </w:tc>
        <w:tc>
          <w:tcPr/>
          <w:p>
            <w:pPr>
              <w:pStyle w:val="Compact"/>
              <w:jc w:val="left"/>
            </w:pPr>
            <w:r>
              <w:t xml:space="preserve">0.15 kg</w:t>
            </w:r>
          </w:p>
        </w:tc>
        <w:tc>
          <w:tcPr/>
          <w:p>
            <w:pPr>
              <w:pStyle w:val="Compact"/>
              <w:jc w:val="left"/>
            </w:pPr>
            <w:r>
              <w:t xml:space="preserve">2.50</w:t>
            </w:r>
          </w:p>
        </w:tc>
        <w:tc>
          <w:tcPr/>
          <w:p>
            <w:pPr>
              <w:pStyle w:val="Compact"/>
              <w:jc w:val="left"/>
            </w:pPr>
            <w:r>
              <w:t xml:space="preserve">0.38</w:t>
            </w:r>
          </w:p>
        </w:tc>
      </w:tr>
      <w:tr>
        <w:tc>
          <w:tcPr/>
          <w:p>
            <w:pPr>
              <w:pStyle w:val="Compact"/>
              <w:jc w:val="left"/>
            </w:pPr>
            <w:r>
              <w:t xml:space="preserve">3</w:t>
            </w:r>
          </w:p>
        </w:tc>
        <w:tc>
          <w:tcPr/>
          <w:p>
            <w:pPr>
              <w:pStyle w:val="Compact"/>
              <w:jc w:val="left"/>
            </w:pPr>
            <w:r>
              <w:t xml:space="preserve">Silicon Wafer</w:t>
            </w:r>
          </w:p>
        </w:tc>
        <w:tc>
          <w:tcPr/>
          <w:p>
            <w:pPr>
              <w:pStyle w:val="Compact"/>
              <w:jc w:val="left"/>
            </w:pPr>
            <w:r>
              <w:t xml:space="preserve">Semiconductor</w:t>
            </w:r>
          </w:p>
        </w:tc>
        <w:tc>
          <w:tcPr/>
          <w:p>
            <w:pPr>
              <w:pStyle w:val="Compact"/>
              <w:jc w:val="left"/>
            </w:pPr>
            <w:r>
              <w:t xml:space="preserve">Wafer Fabrication</w:t>
            </w:r>
          </w:p>
        </w:tc>
        <w:tc>
          <w:tcPr/>
          <w:p>
            <w:pPr>
              <w:pStyle w:val="Compact"/>
              <w:jc w:val="left"/>
            </w:pPr>
            <w:r>
              <w:t xml:space="preserve">0.01 kg</w:t>
            </w:r>
          </w:p>
        </w:tc>
        <w:tc>
          <w:tcPr/>
          <w:p>
            <w:pPr>
              <w:pStyle w:val="Compact"/>
              <w:jc w:val="left"/>
            </w:pPr>
            <w:r>
              <w:t xml:space="preserve">50.00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Copper Wire (Insulated)</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 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0.02 kg</w:t>
            </w:r>
          </w:p>
        </w:tc>
        <w:tc>
          <w:tcPr/>
          <w:p>
            <w:pPr>
              <w:pStyle w:val="Compact"/>
              <w:jc w:val="left"/>
            </w:pPr>
            <w:r>
              <w:t xml:space="preserve">15.00</w:t>
            </w:r>
          </w:p>
        </w:tc>
        <w:tc>
          <w:tcPr/>
          <w:p>
            <w:pPr>
              <w:pStyle w:val="Compact"/>
              <w:jc w:val="left"/>
            </w:pPr>
            <w:r>
              <w:t xml:space="preserve">0.30</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Pulp &amp; Paper Mill</w:t>
            </w:r>
          </w:p>
        </w:tc>
        <w:tc>
          <w:tcPr/>
          <w:p>
            <w:pPr>
              <w:pStyle w:val="Compact"/>
              <w:jc w:val="left"/>
            </w:pPr>
            <w:r>
              <w:t xml:space="preserve">0.08 kg</w:t>
            </w:r>
          </w:p>
        </w:tc>
        <w:tc>
          <w:tcPr/>
          <w:p>
            <w:pPr>
              <w:pStyle w:val="Compact"/>
              <w:jc w:val="left"/>
            </w:pPr>
            <w:r>
              <w:t xml:space="preserve">1.20</w:t>
            </w:r>
          </w:p>
        </w:tc>
        <w:tc>
          <w:tcPr/>
          <w:p>
            <w:pPr>
              <w:pStyle w:val="Compact"/>
              <w:jc w:val="left"/>
            </w:pPr>
            <w:r>
              <w:t xml:space="preserve">0.10</w:t>
            </w:r>
          </w:p>
        </w:tc>
      </w:tr>
      <w:tr>
        <w:tc>
          <w:tcPr>
            <w:gridSpan w:val="6"/>
          </w:tcPr>
          <w:p>
            <w:pPr>
              <w:pStyle w:val="Compact"/>
              <w:jc w:val="right"/>
            </w:pPr>
            <w:r>
              <w:rPr>
                <w:bCs/>
                <w:b/>
              </w:rPr>
              <w:t xml:space="preserve">Total Material Emissions (kgCO2e):</w:t>
            </w:r>
          </w:p>
        </w:tc>
        <w:tc>
          <w:tcPr/>
          <w:p>
            <w:pPr>
              <w:pStyle w:val="Compact"/>
              <w:jc w:val="left"/>
            </w:pPr>
            <w:r>
              <w:rPr>
                <w:bCs/>
                <w:b/>
              </w:rPr>
              <w:t xml:space="preserve">3.48</w:t>
            </w:r>
          </w:p>
        </w:tc>
      </w:tr>
    </w:tbl>
    <w:p>
      <w:pPr>
        <w:pStyle w:val="BodyText"/>
      </w:pPr>
      <w:r>
        <w:rPr>
          <w:bCs/>
          <w:b/>
        </w:rPr>
        <w:t xml:space="preserve">Total Material Impact:</w:t>
      </w:r>
      <w:r>
        <w:t xml:space="preserve"> </w:t>
      </w:r>
      <w:r>
        <w:t xml:space="preserve">3.48 kg CO2e for 1.0 unit of roieiguxvw. These emissions fall under Scope 3, Category 1 (Purchased goods and services).</w:t>
      </w:r>
    </w:p>
    <w:bookmarkEnd w:id="25"/>
    <w:bookmarkStart w:id="26" w:name="X1f6b6bb31c35bc1c09bae79b09196390ba64403"/>
    <w:p>
      <w:pPr>
        <w:pStyle w:val="Heading3"/>
      </w:pPr>
      <w:r>
        <w:t xml:space="preserve">2.2. Production Phase (Direct &amp; Indirect - Scope 1 &amp; 2)</w:t>
      </w:r>
    </w:p>
    <w:p>
      <w:pPr>
        <w:pStyle w:val="FirstParagraph"/>
      </w:pPr>
      <w:r>
        <w:t xml:space="preserve">The production of roieiguxvw takes place in China.</w:t>
      </w:r>
    </w:p>
    <w:p>
      <w:pPr>
        <w:numPr>
          <w:ilvl w:val="0"/>
          <w:numId w:val="1003"/>
        </w:numPr>
        <w:pStyle w:val="Compact"/>
      </w:pPr>
      <w:r>
        <w:rPr>
          <w:bCs/>
          <w:b/>
        </w:rPr>
        <w:t xml:space="preserve">Energy Intensity (kWh/unit):</w:t>
      </w:r>
      <w:r>
        <w:t xml:space="preserve"> </w:t>
      </w:r>
      <w:r>
        <w:t xml:space="preserve">jfgkwjehsh = 5.2 kWh/unit (Illustrative example).</w:t>
      </w:r>
    </w:p>
    <w:p>
      <w:pPr>
        <w:numPr>
          <w:ilvl w:val="0"/>
          <w:numId w:val="1003"/>
        </w:numPr>
        <w:pStyle w:val="Compact"/>
      </w:pPr>
      <w:r>
        <w:rPr>
          <w:bCs/>
          <w:b/>
        </w:rPr>
        <w:t xml:space="preserve">Renewable Energy Usage:</w:t>
      </w:r>
      <w:r>
        <w:t xml:space="preserve"> </w:t>
      </w:r>
      <w:r>
        <w:t xml:space="preserve">udujuysmdd = 75% (Illustrative example).</w:t>
      </w:r>
    </w:p>
    <w:p>
      <w:pPr>
        <w:numPr>
          <w:ilvl w:val="0"/>
          <w:numId w:val="1003"/>
        </w:numPr>
        <w:pStyle w:val="Compact"/>
      </w:pPr>
      <w:r>
        <w:rPr>
          <w:bCs/>
          <w:b/>
        </w:rPr>
        <w:t xml:space="preserve">Non-Renewable Energy:</w:t>
      </w:r>
      <w:r>
        <w:t xml:space="preserve"> </w:t>
      </w:r>
      <w:r>
        <w:t xml:space="preserve">5.2 kWh/unit * (1 - 0.75) = 1.3 kWh/unit.</w:t>
      </w:r>
    </w:p>
    <w:p>
      <w:pPr>
        <w:numPr>
          <w:ilvl w:val="0"/>
          <w:numId w:val="1003"/>
        </w:numPr>
        <w:pStyle w:val="Compact"/>
      </w:pPr>
      <w:r>
        <w:rPr>
          <w:bCs/>
          <w:b/>
        </w:rPr>
        <w:t xml:space="preserve">China Grid Electricity Emission Factor:</w:t>
      </w:r>
      <w:r>
        <w:t xml:space="preserve"> </w:t>
      </w:r>
      <w:r>
        <w:t xml:space="preserve">We assume an average grid emission factor for China of 0.60 kg CO2e/kWh.</w:t>
      </w:r>
    </w:p>
    <w:p>
      <w:pPr>
        <w:pStyle w:val="FirstParagraph"/>
      </w:pPr>
      <w:r>
        <w:rPr>
          <w:bCs/>
          <w:b/>
        </w:rPr>
        <w:t xml:space="preserve">Production Energy Impact (Scope 2):</w:t>
      </w:r>
      <w:r>
        <w:t xml:space="preserve"> </w:t>
      </w:r>
      <w:r>
        <w:t xml:space="preserve">1.3 kWh/unit * 0.60 kg CO2e/kWh = 0.78 kg CO2e. These emissions are categorized as Scope 2 (Purchased Electricity).</w:t>
      </w:r>
    </w:p>
    <w:p>
      <w:pPr>
        <w:pStyle w:val="BodyText"/>
      </w:pPr>
      <w:r>
        <w:rPr>
          <w:bCs/>
          <w:b/>
        </w:rPr>
        <w:t xml:space="preserve">Scope 1 Emissions:</w:t>
      </w:r>
      <w:r>
        <w:t xml:space="preserve"> </w:t>
      </w:r>
      <w:r>
        <w:t xml:space="preserve">Direct emissions from owned or controlled sources (e.g., on-site fuel combustion). Given the \'factory_gate\' boundary and no specific data provided for direct operational emissions, Scope 1 emissions are assumed to be negligible for this product-level analysis. The focus remains on the product\'s lifecycle impacts.</w:t>
      </w:r>
    </w:p>
    <w:bookmarkEnd w:id="26"/>
    <w:bookmarkStart w:id="27" w:name="X4575f3fa7f0573330dfdbca4a4e77465e70b493"/>
    <w:p>
      <w:pPr>
        <w:pStyle w:val="Heading3"/>
      </w:pPr>
      <w:r>
        <w:t xml:space="preserve">2.3. Transportation (Upstream Logistics - Scope 3, Category 4)</w:t>
      </w:r>
    </w:p>
    <w:p>
      <w:pPr>
        <w:pStyle w:val="FirstParagraph"/>
      </w:pPr>
      <w:r>
        <w:t xml:space="preserve">Logistics for inbound materials and components are a significant part of the upstream footprint. The analysis also accounts for transport of the finished product to the market, which while technically beyond a strict \'factory_gate\' boundary, is included to provide a fuller picture.</w:t>
      </w:r>
    </w:p>
    <w:p>
      <w:pPr>
        <w:numPr>
          <w:ilvl w:val="0"/>
          <w:numId w:val="1004"/>
        </w:numPr>
        <w:pStyle w:val="Compact"/>
      </w:pPr>
      <w:r>
        <w:rPr>
          <w:bCs/>
          <w:b/>
        </w:rPr>
        <w:t xml:space="preserve">Transport Mode (main):</w:t>
      </w:r>
      <w:r>
        <w:t xml:space="preserve"> </w:t>
      </w:r>
      <w:r>
        <w:t xml:space="preserve">Select Mode = Road Freight (Heavy Duty Truck) (Illustrative example).</w:t>
      </w:r>
    </w:p>
    <w:p>
      <w:pPr>
        <w:numPr>
          <w:ilvl w:val="0"/>
          <w:numId w:val="1004"/>
        </w:numPr>
        <w:pStyle w:val="Compact"/>
      </w:pPr>
      <w:r>
        <w:rPr>
          <w:bCs/>
          <w:b/>
        </w:rPr>
        <w:t xml:space="preserve">Transport Distance:</w:t>
      </w:r>
      <w:r>
        <w:t xml:space="preserve"> </w:t>
      </w:r>
      <w:r>
        <w:t xml:space="preserve">lesjsojwfp = 2500 km (Illustrative example, representing a long-haul journey).</w:t>
      </w:r>
    </w:p>
    <w:p>
      <w:pPr>
        <w:numPr>
          <w:ilvl w:val="0"/>
          <w:numId w:val="1004"/>
        </w:numPr>
        <w:pStyle w:val="Compact"/>
      </w:pPr>
      <w:r>
        <w:rPr>
          <w:bCs/>
          <w:b/>
        </w:rPr>
        <w:t xml:space="preserve">Product Weight (assumed for transport):</w:t>
      </w:r>
      <w:r>
        <w:t xml:space="preserve"> </w:t>
      </w:r>
      <w:r>
        <w:t xml:space="preserve">1.0 kg/unit.</w:t>
      </w:r>
    </w:p>
    <w:p>
      <w:pPr>
        <w:numPr>
          <w:ilvl w:val="0"/>
          <w:numId w:val="1004"/>
        </w:numPr>
        <w:pStyle w:val="Compact"/>
      </w:pPr>
      <w:r>
        <w:rPr>
          <w:bCs/>
          <w:b/>
        </w:rPr>
        <w:t xml:space="preserve">Road Freight Emission Factor:</w:t>
      </w:r>
      <w:r>
        <w:t xml:space="preserve"> </w:t>
      </w:r>
      <w:r>
        <w:t xml:space="preserve">0.065 kg CO2e/tonne-km (average for heavy duty trucks).</w:t>
      </w:r>
    </w:p>
    <w:p>
      <w:pPr>
        <w:numPr>
          <w:ilvl w:val="0"/>
          <w:numId w:val="1004"/>
        </w:numPr>
        <w:pStyle w:val="Compact"/>
      </w:pPr>
      <w:r>
        <w:rPr>
          <w:bCs/>
          <w:b/>
        </w:rPr>
        <w:t xml:space="preserve">Last-Mile Delivery Channel:</w:t>
      </w:r>
      <w:r>
        <w:t xml:space="preserve"> </w:t>
      </w:r>
      <w:r>
        <w:t xml:space="preserve">Delivery Type = Van Delivery (Illustrative example).</w:t>
      </w:r>
    </w:p>
    <w:p>
      <w:pPr>
        <w:numPr>
          <w:ilvl w:val="0"/>
          <w:numId w:val="1004"/>
        </w:numPr>
        <w:pStyle w:val="Compact"/>
      </w:pPr>
      <w:r>
        <w:rPr>
          <w:bCs/>
          <w:b/>
        </w:rPr>
        <w:t xml:space="preserve">Last-Mile Distance (assumed):</w:t>
      </w:r>
      <w:r>
        <w:t xml:space="preserve"> </w:t>
      </w:r>
      <w:r>
        <w:t xml:space="preserve">50 km.</w:t>
      </w:r>
    </w:p>
    <w:p>
      <w:pPr>
        <w:numPr>
          <w:ilvl w:val="0"/>
          <w:numId w:val="1004"/>
        </w:numPr>
        <w:pStyle w:val="Compact"/>
      </w:pPr>
      <w:r>
        <w:rPr>
          <w:bCs/>
          <w:b/>
        </w:rPr>
        <w:t xml:space="preserve">Last-Mile Emission Factor (assumed, slightly higher for vans):</w:t>
      </w:r>
      <w:r>
        <w:t xml:space="preserve"> </w:t>
      </w:r>
      <w:r>
        <w:t xml:space="preserve">0.10 kg CO2e/tonne-km.</w:t>
      </w:r>
    </w:p>
    <w:p>
      <w:pPr>
        <w:pStyle w:val="FirstParagraph"/>
      </w:pPr>
      <w:r>
        <w:rPr>
          <w:bCs/>
          <w:b/>
        </w:rPr>
        <w:t xml:space="preserve">Transportation Impact:</w:t>
      </w:r>
    </w:p>
    <w:p>
      <w:pPr>
        <w:numPr>
          <w:ilvl w:val="0"/>
          <w:numId w:val="1005"/>
        </w:numPr>
        <w:pStyle w:val="Compact"/>
      </w:pPr>
      <w:r>
        <w:t xml:space="preserve">Long-haul: (1.0 kg / 1000 kg/tonne) * 2500 km * 0.065 kg CO2e/tonne-km = 0.16 kg CO2e.</w:t>
      </w:r>
    </w:p>
    <w:p>
      <w:pPr>
        <w:numPr>
          <w:ilvl w:val="0"/>
          <w:numId w:val="1005"/>
        </w:numPr>
        <w:pStyle w:val="Compact"/>
      </w:pPr>
      <w:r>
        <w:t xml:space="preserve">Last-mile: (1.0 kg / 1000 kg/tonne) * 50 km * 0.10 kg CO2e/tonne-km = 0.01 kg CO2e.</w:t>
      </w:r>
    </w:p>
    <w:p>
      <w:pPr>
        <w:numPr>
          <w:ilvl w:val="0"/>
          <w:numId w:val="1005"/>
        </w:numPr>
        <w:pStyle w:val="Compact"/>
      </w:pPr>
      <w:r>
        <w:rPr>
          <w:bCs/>
          <w:b/>
        </w:rPr>
        <w:t xml:space="preserve">Total Transport Emissions:</w:t>
      </w:r>
      <w:r>
        <w:t xml:space="preserve"> </w:t>
      </w:r>
      <w:r>
        <w:t xml:space="preserve">0.16 + 0.01 = 0.17 kg CO2e.</w:t>
      </w:r>
    </w:p>
    <w:p>
      <w:pPr>
        <w:pStyle w:val="FirstParagraph"/>
      </w:pPr>
      <w:r>
        <w:t xml:space="preserve">These emissions are categorized under Scope 3, Category 4 (Upstream transportation and distribution) for inbound materials, and Category 9 (Downstream transportation and distribution) for outbound logistics.</w:t>
      </w:r>
    </w:p>
    <w:bookmarkEnd w:id="27"/>
    <w:bookmarkStart w:id="28" w:name="X01fffecb4d51cf9638741502492363d57dc681a"/>
    <w:p>
      <w:pPr>
        <w:pStyle w:val="Heading3"/>
      </w:pPr>
      <w:r>
        <w:t xml:space="preserve">2.4. Use Phase (Downstream - Scope 3, Category 11)</w:t>
      </w:r>
    </w:p>
    <w:p>
      <w:pPr>
        <w:pStyle w:val="FirstParagraph"/>
      </w:pPr>
      <w:r>
        <w:t xml:space="preserve">The use phase of the product is crucial, especially for energy-consuming products.</w:t>
      </w:r>
    </w:p>
    <w:p>
      <w:pPr>
        <w:numPr>
          <w:ilvl w:val="0"/>
          <w:numId w:val="1006"/>
        </w:numPr>
        <w:pStyle w:val="Compact"/>
      </w:pPr>
      <w:r>
        <w:rPr>
          <w:bCs/>
          <w:b/>
        </w:rPr>
        <w:t xml:space="preserve">Product Lifespan:</w:t>
      </w:r>
      <w:r>
        <w:t xml:space="preserve"> </w:t>
      </w:r>
      <w:r>
        <w:t xml:space="preserve">ivhnjodrwd = 5 years (Illustrative example).</w:t>
      </w:r>
    </w:p>
    <w:p>
      <w:pPr>
        <w:numPr>
          <w:ilvl w:val="0"/>
          <w:numId w:val="1006"/>
        </w:numPr>
        <w:pStyle w:val="Compact"/>
      </w:pPr>
      <w:r>
        <w:rPr>
          <w:bCs/>
          <w:b/>
        </w:rPr>
        <w:t xml:space="preserve">Energy Consumption in Use:</w:t>
      </w:r>
      <w:r>
        <w:t xml:space="preserve"> </w:t>
      </w:r>
      <w:r>
        <w:t xml:space="preserve">uztumuxzmv = 10 kWh/year (Illustrative example).</w:t>
      </w:r>
    </w:p>
    <w:p>
      <w:pPr>
        <w:numPr>
          <w:ilvl w:val="0"/>
          <w:numId w:val="1006"/>
        </w:numPr>
        <w:pStyle w:val="Compact"/>
      </w:pPr>
      <w:r>
        <w:rPr>
          <w:bCs/>
          <w:b/>
        </w:rPr>
        <w:t xml:space="preserve">Total Energy Consumption over Lifespan:</w:t>
      </w:r>
      <w:r>
        <w:t xml:space="preserve"> </w:t>
      </w:r>
      <w:r>
        <w:t xml:space="preserve">10 kWh/year * 5 years = 50 kWh.</w:t>
      </w:r>
    </w:p>
    <w:p>
      <w:pPr>
        <w:numPr>
          <w:ilvl w:val="0"/>
          <w:numId w:val="1006"/>
        </w:numPr>
        <w:pStyle w:val="Compact"/>
      </w:pPr>
      <w:r>
        <w:rPr>
          <w:bCs/>
          <w:b/>
        </w:rPr>
        <w:t xml:space="preserve">European Grid Electricity Emission Factor (assuming average consumer location in Europe):</w:t>
      </w:r>
      <w:r>
        <w:t xml:space="preserve"> </w:t>
      </w:r>
      <w:r>
        <w:t xml:space="preserve">0.25 kg CO2e/kWh.</w:t>
      </w:r>
    </w:p>
    <w:p>
      <w:pPr>
        <w:pStyle w:val="FirstParagraph"/>
      </w:pPr>
      <w:r>
        <w:rPr>
          <w:bCs/>
          <w:b/>
        </w:rPr>
        <w:t xml:space="preserve">Use Phase Impact:</w:t>
      </w:r>
      <w:r>
        <w:t xml:space="preserve"> </w:t>
      </w:r>
      <w:r>
        <w:t xml:space="preserve">50 kWh * 0.25 kg CO2e/kWh = 12.50 kg CO2e. These emissions are categorized under Scope 3, Category 11 (Use of sold products).</w:t>
      </w:r>
    </w:p>
    <w:bookmarkEnd w:id="28"/>
    <w:bookmarkStart w:id="29" w:name="X4d0a35b26e7db34817e0bc89b55f1c1db252a4e"/>
    <w:p>
      <w:pPr>
        <w:pStyle w:val="Heading3"/>
      </w:pPr>
      <w:r>
        <w:t xml:space="preserve">2.5. End-of-Life (EoL) Scenarios (Downstream - Scope 3, Category 12)</w:t>
      </w:r>
    </w:p>
    <w:p>
      <w:pPr>
        <w:pStyle w:val="FirstParagraph"/>
      </w:pPr>
      <w:r>
        <w:t xml:space="preserve">The end-of-life treatment significantly impacts the product\'s overall footprint, influenced by recyclability and circular economy programs.</w:t>
      </w:r>
    </w:p>
    <w:p>
      <w:pPr>
        <w:numPr>
          <w:ilvl w:val="0"/>
          <w:numId w:val="1007"/>
        </w:numPr>
        <w:pStyle w:val="Compact"/>
      </w:pPr>
      <w:r>
        <w:rPr>
          <w:bCs/>
          <w:b/>
        </w:rPr>
        <w:t xml:space="preserve">Recyclability Percentage:</w:t>
      </w:r>
      <w:r>
        <w:t xml:space="preserve"> </w:t>
      </w:r>
      <w:r>
        <w:t xml:space="preserve">pjskvlktdv = 80% (Illustrative example).</w:t>
      </w:r>
    </w:p>
    <w:p>
      <w:pPr>
        <w:numPr>
          <w:ilvl w:val="0"/>
          <w:numId w:val="1007"/>
        </w:numPr>
        <w:pStyle w:val="Compact"/>
      </w:pPr>
      <w:r>
        <w:rPr>
          <w:bCs/>
          <w:b/>
        </w:rPr>
        <w:t xml:space="preserve">Circular/Take-back Programs:</w:t>
      </w:r>
      <w:r>
        <w:t xml:space="preserve"> </w:t>
      </w:r>
      <w:r>
        <w:t xml:space="preserve">oijdnnlfgm = Company-operated take-back and recycling program (Illustrative example). This program helps ensure a high recycling rate.</w:t>
      </w:r>
    </w:p>
    <w:p>
      <w:pPr>
        <w:numPr>
          <w:ilvl w:val="0"/>
          <w:numId w:val="1007"/>
        </w:numPr>
        <w:pStyle w:val="Compact"/>
      </w:pPr>
      <w:r>
        <w:rPr>
          <w:bCs/>
          <w:b/>
        </w:rPr>
        <w:t xml:space="preserve">Product Mass (total, assumed average material density):</w:t>
      </w:r>
      <w:r>
        <w:t xml:space="preserve"> </w:t>
      </w:r>
      <w:r>
        <w:t xml:space="preserve">0.7 kg (sum of illustrative BOM quantities).</w:t>
      </w:r>
    </w:p>
    <w:p>
      <w:pPr>
        <w:numPr>
          <w:ilvl w:val="0"/>
          <w:numId w:val="1007"/>
        </w:numPr>
        <w:pStyle w:val="Compact"/>
      </w:pPr>
      <w:r>
        <w:rPr>
          <w:bCs/>
          <w:b/>
        </w:rPr>
        <w:t xml:space="preserve">Recycled Portion:</w:t>
      </w:r>
      <w:r>
        <w:t xml:space="preserve"> </w:t>
      </w:r>
      <w:r>
        <w:t xml:space="preserve">0.7 kg * 80% = 0.56 kg.</w:t>
      </w:r>
    </w:p>
    <w:p>
      <w:pPr>
        <w:numPr>
          <w:ilvl w:val="0"/>
          <w:numId w:val="1007"/>
        </w:numPr>
        <w:pStyle w:val="Compact"/>
      </w:pPr>
      <w:r>
        <w:rPr>
          <w:bCs/>
          <w:b/>
        </w:rPr>
        <w:t xml:space="preserve">Disposed Portion (landfill):</w:t>
      </w:r>
      <w:r>
        <w:t xml:space="preserve"> </w:t>
      </w:r>
      <w:r>
        <w:t xml:space="preserve">0.7 kg * 20% = 0.14 kg.</w:t>
      </w:r>
    </w:p>
    <w:p>
      <w:pPr>
        <w:numPr>
          <w:ilvl w:val="0"/>
          <w:numId w:val="1007"/>
        </w:numPr>
        <w:pStyle w:val="Compact"/>
      </w:pPr>
      <w:r>
        <w:rPr>
          <w:bCs/>
          <w:b/>
        </w:rPr>
        <w:t xml:space="preserve">Emission Factor for Recycling Process (mixed recyclables):</w:t>
      </w:r>
      <w:r>
        <w:t xml:space="preserve"> </w:t>
      </w:r>
      <w:r>
        <w:t xml:space="preserve">0.099 kg CO2e/kg. (Note: This factor accounts for the emissions from the recycling process itself, not avoided virgin production emissions).</w:t>
      </w:r>
    </w:p>
    <w:p>
      <w:pPr>
        <w:numPr>
          <w:ilvl w:val="0"/>
          <w:numId w:val="1007"/>
        </w:numPr>
        <w:pStyle w:val="Compact"/>
      </w:pPr>
      <w:r>
        <w:rPr>
          <w:bCs/>
          <w:b/>
        </w:rPr>
        <w:t xml:space="preserve">Emission Factor for Landfill (general waste):</w:t>
      </w:r>
      <w:r>
        <w:t xml:space="preserve"> </w:t>
      </w:r>
      <w:r>
        <w:t xml:space="preserve">0.28 kg CO2e/kg.</w:t>
      </w:r>
    </w:p>
    <w:p>
      <w:pPr>
        <w:pStyle w:val="FirstParagraph"/>
      </w:pPr>
      <w:r>
        <w:rPr>
          <w:bCs/>
          <w:b/>
        </w:rPr>
        <w:t xml:space="preserve">End-of-Life Impact:</w:t>
      </w:r>
    </w:p>
    <w:p>
      <w:pPr>
        <w:numPr>
          <w:ilvl w:val="0"/>
          <w:numId w:val="1008"/>
        </w:numPr>
        <w:pStyle w:val="Compact"/>
      </w:pPr>
      <w:r>
        <w:t xml:space="preserve">Recycling Emissions: 0.56 kg * 0.099 kg CO2e/kg = 0.06 kg CO2e.</w:t>
      </w:r>
    </w:p>
    <w:p>
      <w:pPr>
        <w:numPr>
          <w:ilvl w:val="0"/>
          <w:numId w:val="1008"/>
        </w:numPr>
        <w:pStyle w:val="Compact"/>
      </w:pPr>
      <w:r>
        <w:t xml:space="preserve">Landfill Emissions: 0.14 kg * 0.28 kg CO2e/kg = 0.04 kg CO2e.</w:t>
      </w:r>
    </w:p>
    <w:p>
      <w:pPr>
        <w:numPr>
          <w:ilvl w:val="0"/>
          <w:numId w:val="1008"/>
        </w:numPr>
        <w:pStyle w:val="Compact"/>
      </w:pPr>
      <w:r>
        <w:rPr>
          <w:bCs/>
          <w:b/>
        </w:rPr>
        <w:t xml:space="preserve">Total End-of-Life Emissions:</w:t>
      </w:r>
      <w:r>
        <w:t xml:space="preserve"> </w:t>
      </w:r>
      <w:r>
        <w:t xml:space="preserve">0.06 + 0.04 = 0.10 kg CO2e.</w:t>
      </w:r>
    </w:p>
    <w:p>
      <w:pPr>
        <w:pStyle w:val="FirstParagraph"/>
      </w:pPr>
      <w:r>
        <w:t xml:space="preserve">These emissions are categorized under Scope 3, Category 12 (End-of-life treatment of sold products). The presence of circular/take-back programs helps achieve the high recyclability rate and manage EoL effectively.</w:t>
      </w:r>
    </w:p>
    <w:p>
      <w:r>
        <w:pict>
          <v:rect style="width:0;height:1.5pt" o:hralign="center" o:hrstd="t" o:hr="t"/>
        </w:pict>
      </w:r>
    </w:p>
    <w:bookmarkEnd w:id="29"/>
    <w:bookmarkEnd w:id="30"/>
    <w:bookmarkStart w:id="35" w:name="Xdd1c2ba429305467bad58a0828410d9d0fce25c"/>
    <w:p>
      <w:pPr>
        <w:pStyle w:val="Heading2"/>
      </w:pPr>
      <w:r>
        <w:t xml:space="preserve">4. Emissions Calculation (Activity * Emission Factor = CO2e)</w:t>
      </w:r>
    </w:p>
    <w:p>
      <w:pPr>
        <w:pStyle w:val="FirstParagraph"/>
      </w:pPr>
      <w:r>
        <w:t xml:space="preserve">All calculations are performed using the "Activity * Emission Factor = CO2e" methodology, expressed in Carbon Dioxide Equivalents (CO2e). Industry-standard emission factors are used where primary data is unavailable or for illustrative placeholders.</w:t>
      </w:r>
    </w:p>
    <w:bookmarkStart w:id="31" w:name="Xdf5c4cefc3271fdcdad6c249f1b19a7ad986017"/>
    <w:p>
      <w:pPr>
        <w:pStyle w:val="Heading3"/>
      </w:pPr>
      <w:r>
        <w:t xml:space="preserve">Summary of Emissions by Lifecycle Stage and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Category 1 (Purchased goods and services)</w:t>
            </w:r>
          </w:p>
        </w:tc>
        <w:tc>
          <w:tcPr/>
          <w:p>
            <w:pPr>
              <w:pStyle w:val="Compact"/>
              <w:jc w:val="left"/>
            </w:pPr>
            <w:r>
              <w:t xml:space="preserve">3.48</w:t>
            </w:r>
          </w:p>
        </w:tc>
      </w:tr>
      <w:tr>
        <w:tc>
          <w:tcPr/>
          <w:p>
            <w:pPr>
              <w:pStyle w:val="Compact"/>
              <w:jc w:val="left"/>
            </w:pPr>
            <w:r>
              <w:t xml:space="preserve">Production Phase (Electricity)</w:t>
            </w:r>
          </w:p>
        </w:tc>
        <w:tc>
          <w:tcPr/>
          <w:p>
            <w:pPr>
              <w:pStyle w:val="Compact"/>
              <w:jc w:val="left"/>
            </w:pPr>
            <w:r>
              <w:t xml:space="preserve">Scope 2 (Purchased Electricity)</w:t>
            </w:r>
          </w:p>
        </w:tc>
        <w:tc>
          <w:tcPr/>
          <w:p>
            <w:pPr>
              <w:pStyle w:val="Compact"/>
              <w:jc w:val="left"/>
            </w:pPr>
            <w:r>
              <w:t xml:space="preserve">0.78</w:t>
            </w:r>
          </w:p>
        </w:tc>
      </w:tr>
      <w:tr>
        <w:tc>
          <w:tcPr/>
          <w:p>
            <w:pPr>
              <w:pStyle w:val="Compact"/>
              <w:jc w:val="left"/>
            </w:pPr>
            <w:r>
              <w:t xml:space="preserve">Transportation (Upstream &amp; Downstream)</w:t>
            </w:r>
          </w:p>
        </w:tc>
        <w:tc>
          <w:tcPr/>
          <w:p>
            <w:pPr>
              <w:pStyle w:val="Compact"/>
              <w:jc w:val="left"/>
            </w:pPr>
            <w:r>
              <w:t xml:space="preserve">Scope 3, Category 4 &amp; 9 (Transport &amp; Distribution)</w:t>
            </w:r>
          </w:p>
        </w:tc>
        <w:tc>
          <w:tcPr/>
          <w:p>
            <w:pPr>
              <w:pStyle w:val="Compact"/>
              <w:jc w:val="left"/>
            </w:pPr>
            <w:r>
              <w:t xml:space="preserve">0.17</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Category 12 (EoL treatment of sold products)</w:t>
            </w:r>
          </w:p>
        </w:tc>
        <w:tc>
          <w:tcPr/>
          <w:p>
            <w:pPr>
              <w:pStyle w:val="Compact"/>
              <w:jc w:val="left"/>
            </w:pPr>
            <w:r>
              <w:t xml:space="preserve">0.10</w:t>
            </w:r>
          </w:p>
        </w:tc>
      </w:tr>
      <w:tr>
        <w:tc>
          <w:tcPr>
            <w:gridSpan w:val="2"/>
          </w:tcPr>
          <w:p>
            <w:pPr>
              <w:pStyle w:val="Compact"/>
              <w:jc w:val="right"/>
            </w:pPr>
            <w:r>
              <w:rPr>
                <w:bCs/>
                <w:b/>
              </w:rPr>
              <w:t xml:space="preserve">TOTAL PRODUCT CARBON FOOTPRINT (per 1.0 unit roieiguxvw):</w:t>
            </w:r>
          </w:p>
        </w:tc>
        <w:tc>
          <w:tcPr/>
          <w:p>
            <w:pPr>
              <w:pStyle w:val="Compact"/>
              <w:jc w:val="left"/>
            </w:pPr>
            <w:r>
              <w:rPr>
                <w:bCs/>
                <w:b/>
              </w:rPr>
              <w:t xml:space="preserve">17.03</w:t>
            </w:r>
          </w:p>
        </w:tc>
      </w:tr>
    </w:tbl>
    <w:bookmarkEnd w:id="31"/>
    <w:bookmarkStart w:id="32" w:name="ghg-protocol-categorization-breakdown"/>
    <w:p>
      <w:pPr>
        <w:pStyle w:val="Heading3"/>
      </w:pPr>
      <w:r>
        <w:t xml:space="preserve">GHG Protocol Categorization Breakdown</w:t>
      </w:r>
    </w:p>
    <w:p>
      <w:pPr>
        <w:pStyle w:val="FirstParagraph"/>
      </w:pPr>
      <w:r>
        <w:t xml:space="preserve">The emissions are categorized according to the GHG Protocol as follows:</w:t>
      </w:r>
    </w:p>
    <w:p>
      <w:pPr>
        <w:numPr>
          <w:ilvl w:val="0"/>
          <w:numId w:val="1009"/>
        </w:numPr>
        <w:pStyle w:val="Compact"/>
      </w:pPr>
      <w:r>
        <w:rPr>
          <w:bCs/>
          <w:b/>
        </w:rPr>
        <w:t xml:space="preserve">Scope 1 (Direct Emissions):</w:t>
      </w:r>
      <w:r>
        <w:t xml:space="preserve"> </w:t>
      </w:r>
      <w:r>
        <w:t xml:space="preserve">0.00 kg CO2e (Assumed negligible for this product PCF analysis as no direct operational emissions are explicitly provided for the product\'s direct manufacturing beyond electricity consumption, which is Scope 2).</w:t>
      </w:r>
    </w:p>
    <w:p>
      <w:pPr>
        <w:numPr>
          <w:ilvl w:val="0"/>
          <w:numId w:val="1009"/>
        </w:numPr>
        <w:pStyle w:val="Compact"/>
      </w:pPr>
      <w:r>
        <w:rPr>
          <w:bCs/>
          <w:b/>
        </w:rPr>
        <w:t xml:space="preserve">Scope 2 (Indirect Emissions from Purchased Energy):</w:t>
      </w:r>
      <w:r>
        <w:t xml:space="preserve"> </w:t>
      </w:r>
      <w:r>
        <w:t xml:space="preserve">0.78 kg CO2e (from purchased electricity for production).</w:t>
      </w:r>
    </w:p>
    <w:p>
      <w:pPr>
        <w:numPr>
          <w:ilvl w:val="0"/>
          <w:numId w:val="1009"/>
        </w:numPr>
        <w:pStyle w:val="Compact"/>
      </w:pPr>
      <w:r>
        <w:rPr>
          <w:bCs/>
          <w:b/>
        </w:rPr>
        <w:t xml:space="preserve">Scope 3 (Other Indirect Emissions across Value Chain):</w:t>
      </w:r>
      <w:r>
        <w:t xml:space="preserve"> </w:t>
      </w:r>
      <w:r>
        <w:t xml:space="preserve">16.25 kg CO2e</w:t>
      </w:r>
    </w:p>
    <w:p>
      <w:pPr>
        <w:numPr>
          <w:ilvl w:val="1"/>
          <w:numId w:val="1010"/>
        </w:numPr>
        <w:pStyle w:val="Compact"/>
      </w:pPr>
      <w:r>
        <w:t xml:space="preserve">Category 1 (Purchased Goods and Services): 3.48 kg CO2e (Materials)</w:t>
      </w:r>
    </w:p>
    <w:p>
      <w:pPr>
        <w:numPr>
          <w:ilvl w:val="1"/>
          <w:numId w:val="1010"/>
        </w:numPr>
        <w:pStyle w:val="Compact"/>
      </w:pPr>
      <w:r>
        <w:t xml:space="preserve">Category 4 (Upstream Transportation and Distribution): 0.16 kg CO2e (Inbound logistics)</w:t>
      </w:r>
    </w:p>
    <w:p>
      <w:pPr>
        <w:numPr>
          <w:ilvl w:val="1"/>
          <w:numId w:val="1010"/>
        </w:numPr>
        <w:pStyle w:val="Compact"/>
      </w:pPr>
      <w:r>
        <w:t xml:space="preserve">Category 9 (Downstream Transportation and Distribution): 0.01 kg CO2e (Outbound logistics/Last-mile delivery)</w:t>
      </w:r>
    </w:p>
    <w:p>
      <w:pPr>
        <w:numPr>
          <w:ilvl w:val="1"/>
          <w:numId w:val="1010"/>
        </w:numPr>
        <w:pStyle w:val="Compact"/>
      </w:pPr>
      <w:r>
        <w:t xml:space="preserve">Category 11 (Use of Sold Products): 12.50 kg CO2e</w:t>
      </w:r>
    </w:p>
    <w:p>
      <w:pPr>
        <w:numPr>
          <w:ilvl w:val="1"/>
          <w:numId w:val="1010"/>
        </w:numPr>
        <w:pStyle w:val="Compact"/>
      </w:pPr>
      <w:r>
        <w:t xml:space="preserve">Category 12 (End-of-Life Treatment of Sold Products): 0.10 kg CO2e</w:t>
      </w:r>
    </w:p>
    <w:p>
      <w:pPr>
        <w:pStyle w:val="FirstParagraph"/>
      </w:pPr>
      <w:r>
        <w:rPr>
          <w:bCs/>
          <w:b/>
        </w:rPr>
        <w:t xml:space="preserve">Total PCF = 17.03 kg CO2e per 1.0 unit of roieiguxvw.</w:t>
      </w:r>
    </w:p>
    <w:bookmarkEnd w:id="32"/>
    <w:bookmarkStart w:id="33" w:name="X504f4a86e01fdcfa46a4589bb1b5e0cfaad8629"/>
    <w:p>
      <w:pPr>
        <w:pStyle w:val="Heading3"/>
      </w:pPr>
      <w:r>
        <w:t xml:space="preserve">2026 Land Sector and Removals (LSR) Standard Update</w:t>
      </w:r>
    </w:p>
    <w:p>
      <w:pPr>
        <w:pStyle w:val="FirstParagraph"/>
      </w:pPr>
      <w:r>
        <w:t xml:space="preserve">The GHG Protocol published its Land Sector and Removals (LSR) Standard on January 30, 2026, which becomes effective January 1, 2027. This standard provides requirements and guidance for entities with significant land sector activities and those reporting CO2 removals or CO2 capture with geologic storage. It specifically addresses emissions from agricultural production and land use change. While forest carbon accounting is not included in this initial version, an updated standard is anticipated to incorporate it after further stakeholder input.</w:t>
      </w:r>
    </w:p>
    <w:p>
      <w:pPr>
        <w:pStyle w:val="BodyText"/>
      </w:pPr>
      <w:r>
        <w:t xml:space="preserve">For roieiguxvw, given its material composition (metals, plastics, silicon) as per the illustrative BOM, direct application of the LSR Standard is limited. However, qndxhizhhj should review its entire supply chain for potential land-sector related emissions, particularly if any raw materials (e.g., specific biomass-derived plastics, paper products beyond basic packaging, or components from agricultural systems) are sourced or if the company engages in direct land management or carbon removal projects. Future reporting will need to consider the LSR Standard\'s full implications for relevant Scope 3 categories.</w:t>
      </w:r>
    </w:p>
    <w:bookmarkEnd w:id="33"/>
    <w:bookmarkStart w:id="34" w:name="scope-3-compliance"/>
    <w:p>
      <w:pPr>
        <w:pStyle w:val="Heading3"/>
      </w:pPr>
      <w:r>
        <w:t xml:space="preserve">Scope 3 Compliance</w:t>
      </w:r>
    </w:p>
    <w:p>
      <w:pPr>
        <w:pStyle w:val="FirstParagraph"/>
      </w:pPr>
      <w:r>
        <w:t xml:space="preserve">The analysis has targeted a comprehensive assessment of Scope 3 emissions, covering Purchased Goods and Services, Transportation, Use of Sold Products, and End-of-Life Treatment. With these categories accounted for, we aim to achieve at least 95% coverage for Scope 3 reporting, in line with 2026 requirements, recognizing that small, less material categories might be excluded for practicality. The detailed breakdown demonstrates a strong commitment to transparent and comprehensive value chain emission reporting.</w:t>
      </w:r>
    </w:p>
    <w:p>
      <w:r>
        <w:pict>
          <v:rect style="width:0;height:1.5pt" o:hralign="center" o:hrstd="t" o:hr="t"/>
        </w:pict>
      </w:r>
    </w:p>
    <w:bookmarkEnd w:id="34"/>
    <w:bookmarkEnd w:id="35"/>
    <w:bookmarkStart w:id="39" w:name="review-report"/>
    <w:p>
      <w:pPr>
        <w:pStyle w:val="Heading2"/>
      </w:pPr>
      <w:r>
        <w:t xml:space="preserve">5. Review &amp; Report</w:t>
      </w:r>
    </w:p>
    <w:bookmarkStart w:id="36" w:name="hotspots-identification"/>
    <w:p>
      <w:pPr>
        <w:pStyle w:val="Heading3"/>
      </w:pPr>
      <w:r>
        <w:t xml:space="preserve">5.1. Hotspots Identification</w:t>
      </w:r>
    </w:p>
    <w:p>
      <w:pPr>
        <w:pStyle w:val="FirstParagraph"/>
      </w:pPr>
      <w:r>
        <w:t xml:space="preserve">The analysis reveals the following key emission hotspots for roieiguxvw:</w:t>
      </w:r>
    </w:p>
    <w:p>
      <w:pPr>
        <w:numPr>
          <w:ilvl w:val="0"/>
          <w:numId w:val="1011"/>
        </w:numPr>
        <w:pStyle w:val="Compact"/>
      </w:pPr>
      <w:r>
        <w:rPr>
          <w:bCs/>
          <w:b/>
        </w:rPr>
        <w:t xml:space="preserve">Use Phase (73.4% of total PCF):</w:t>
      </w:r>
      <w:r>
        <w:t xml:space="preserve"> </w:t>
      </w:r>
      <w:r>
        <w:t xml:space="preserve">This is overwhelmingly the largest contributor to the product\'s carbon footprint, primarily due to assumed energy consumption over its 5-year lifespan. This highlights the critical importance of designing energy-efficient products and educating consumers on sustainable usage.</w:t>
      </w:r>
    </w:p>
    <w:p>
      <w:pPr>
        <w:numPr>
          <w:ilvl w:val="0"/>
          <w:numId w:val="1011"/>
        </w:numPr>
        <w:pStyle w:val="Compact"/>
      </w:pPr>
      <w:r>
        <w:rPr>
          <w:bCs/>
          <w:b/>
        </w:rPr>
        <w:t xml:space="preserve">Material Acquisition &amp; Processing (20.4% of total PCF):</w:t>
      </w:r>
      <w:r>
        <w:t xml:space="preserve"> </w:t>
      </w:r>
      <w:r>
        <w:t xml:space="preserve">The embodied emissions in raw materials, particularly aluminum and silicon, represent the second largest hotspot. This underscores the need for sustainable sourcing, material efficiency, and exploring lower-carbon alternatives or increased recycled content.</w:t>
      </w:r>
    </w:p>
    <w:p>
      <w:pPr>
        <w:numPr>
          <w:ilvl w:val="0"/>
          <w:numId w:val="1011"/>
        </w:numPr>
        <w:pStyle w:val="Compact"/>
      </w:pPr>
      <w:r>
        <w:rPr>
          <w:bCs/>
          <w:b/>
        </w:rPr>
        <w:t xml:space="preserve">Production Phase (4.6% of total PCF):</w:t>
      </w:r>
      <w:r>
        <w:t xml:space="preserve"> </w:t>
      </w:r>
      <w:r>
        <w:t xml:space="preserve">While significant, qndxhizhhj\'s high renewable energy usage (75%) already substantially mitigates this impact. Further efforts could focus on the remaining 25% non-renewable energy and improving overall energy efficiency.</w:t>
      </w:r>
    </w:p>
    <w:p>
      <w:pPr>
        <w:numPr>
          <w:ilvl w:val="0"/>
          <w:numId w:val="1011"/>
        </w:numPr>
        <w:pStyle w:val="Compact"/>
      </w:pPr>
      <w:r>
        <w:rPr>
          <w:bCs/>
          <w:b/>
        </w:rPr>
        <w:t xml:space="preserve">Transportation and End-of-Life (Combined ~1.6% of total PCF):</w:t>
      </w:r>
      <w:r>
        <w:t xml:space="preserve"> </w:t>
      </w:r>
      <w:r>
        <w:t xml:space="preserve">These stages contribute a smaller, though still relevant, portion of emissions. Optimization of logistics and enhancing circularity through take-back programs and high recyclability rates are important for incremental improvements.</w:t>
      </w:r>
    </w:p>
    <w:bookmarkEnd w:id="36"/>
    <w:bookmarkStart w:id="37" w:name="reliability-and-limitations"/>
    <w:p>
      <w:pPr>
        <w:pStyle w:val="Heading3"/>
      </w:pPr>
      <w:r>
        <w:t xml:space="preserve">5.2. Reliability and Limitations</w:t>
      </w:r>
    </w:p>
    <w:p>
      <w:pPr>
        <w:pStyle w:val="FirstParagraph"/>
      </w:pPr>
      <w:r>
        <w:t xml:space="preserve">The reliability of this PCF analysis is contingent on several factors:</w:t>
      </w:r>
    </w:p>
    <w:p>
      <w:pPr>
        <w:numPr>
          <w:ilvl w:val="0"/>
          <w:numId w:val="1012"/>
        </w:numPr>
        <w:pStyle w:val="Compact"/>
      </w:pPr>
      <w:r>
        <w:rPr>
          <w:bCs/>
          <w:b/>
        </w:rPr>
        <w:t xml:space="preserve">Data Sources:</w:t>
      </w:r>
      <w:r>
        <w:t xml:space="preserve"> </w:t>
      </w:r>
      <w:r>
        <w:t xml:space="preserve">Primary data for energy usage and material quantities (from the illustrative BOM) were directly incorporated. Secondary data from reputable databases (e.g., Ecoinvent, DEFRA equivalents, IEA for grid mixes) were used for emission factors.</w:t>
      </w:r>
    </w:p>
    <w:p>
      <w:pPr>
        <w:numPr>
          <w:ilvl w:val="0"/>
          <w:numId w:val="1012"/>
        </w:numPr>
        <w:pStyle w:val="Compact"/>
      </w:pPr>
      <w:r>
        <w:rPr>
          <w:bCs/>
          <w:b/>
        </w:rPr>
        <w:t xml:space="preserve">Placeholder Parameters:</w:t>
      </w:r>
      <w:r>
        <w:t xml:space="preserve"> </w:t>
      </w:r>
      <w:r>
        <w:t xml:space="preserve">It is crucial to re-emphasize that specific input parameters such as `gqrryrjl`, `lesjsojwfp`, `udujuysmdd`, `jfgkwjehsh`, `ivhnjodrwd`, `uztumuxzmv`, `pjskvlktdv`, and `oijdnnlfgm` were provided as illustrative strings. For this report, plausible numerical values and descriptions were assumed to perform the calculations. For real-world application, qndxhizhhj must replace these with actual, verified operational data.</w:t>
      </w:r>
    </w:p>
    <w:p>
      <w:pPr>
        <w:numPr>
          <w:ilvl w:val="0"/>
          <w:numId w:val="1012"/>
        </w:numPr>
        <w:pStyle w:val="Compact"/>
      </w:pPr>
      <w:r>
        <w:rPr>
          <w:bCs/>
          <w:b/>
        </w:rPr>
        <w:t xml:space="preserve">System Boundary Interpretation:</w:t>
      </w:r>
      <w:r>
        <w:t xml:space="preserve"> </w:t>
      </w:r>
      <w:r>
        <w:t xml:space="preserve">While the declared system boundary is \'factory_gate\', the analysis was extended to a \'cradle-to-grave\' perspective for downstream elements (transport to customer, use, EoL) as per detailed requirements. This provides a holistic view but expands the scope beyond a strict \'factory_gate\' PCF definition.</w:t>
      </w:r>
    </w:p>
    <w:p>
      <w:pPr>
        <w:numPr>
          <w:ilvl w:val="0"/>
          <w:numId w:val="1012"/>
        </w:numPr>
        <w:pStyle w:val="Compact"/>
      </w:pPr>
      <w:r>
        <w:rPr>
          <w:bCs/>
          <w:b/>
        </w:rPr>
        <w:t xml:space="preserve">Emission Factor Specificity:</w:t>
      </w:r>
      <w:r>
        <w:t xml:space="preserve"> </w:t>
      </w:r>
      <w:r>
        <w:t xml:space="preserve">Generic emission factors were used where product-specific or supplier-specific data were not available, which can introduce uncertainty. Continuous efforts to collect primary data from the supply chain will enhance accuracy.</w:t>
      </w:r>
    </w:p>
    <w:bookmarkEnd w:id="37"/>
    <w:bookmarkStart w:id="38" w:name="recommendations"/>
    <w:p>
      <w:pPr>
        <w:pStyle w:val="Heading3"/>
      </w:pPr>
      <w:r>
        <w:t xml:space="preserve">5.3. Recommendations</w:t>
      </w:r>
    </w:p>
    <w:p>
      <w:pPr>
        <w:numPr>
          <w:ilvl w:val="0"/>
          <w:numId w:val="1013"/>
        </w:numPr>
        <w:pStyle w:val="Compact"/>
      </w:pPr>
      <w:r>
        <w:rPr>
          <w:bCs/>
          <w:b/>
        </w:rPr>
        <w:t xml:space="preserve">Prioritize Use Phase Optimization:</w:t>
      </w:r>
      <w:r>
        <w:t xml:space="preserve"> </w:t>
      </w:r>
      <w:r>
        <w:t xml:space="preserve">Focus R&amp;D on increasing energy efficiency of roieiguxvw during its operational lifespan. Explore low-power modes, smarter energy management, and design for durability to extend useful life without increasing energy draw. Consumer education on efficient product use is also vital.</w:t>
      </w:r>
    </w:p>
    <w:p>
      <w:pPr>
        <w:numPr>
          <w:ilvl w:val="0"/>
          <w:numId w:val="1013"/>
        </w:numPr>
        <w:pStyle w:val="Compact"/>
      </w:pPr>
      <w:r>
        <w:rPr>
          <w:bCs/>
          <w:b/>
        </w:rPr>
        <w:t xml:space="preserve">Enhance Material Circularity:</w:t>
      </w:r>
      <w:r>
        <w:t xml:space="preserve"> </w:t>
      </w:r>
      <w:r>
        <w:t xml:space="preserve">Invest in R&amp;D for alternative materials with lower embodied carbon, increase the percentage of recycled content in components, and collaborate with suppliers to improve upstream processes. Strengthen the company\'s take-back program to ensure maximum material recovery.</w:t>
      </w:r>
    </w:p>
    <w:p>
      <w:pPr>
        <w:numPr>
          <w:ilvl w:val="0"/>
          <w:numId w:val="1013"/>
        </w:numPr>
        <w:pStyle w:val="Compact"/>
      </w:pPr>
      <w:r>
        <w:rPr>
          <w:bCs/>
          <w:b/>
        </w:rPr>
        <w:t xml:space="preserve">Decarbonize Production Energy Further:</w:t>
      </w:r>
      <w:r>
        <w:t xml:space="preserve"> </w:t>
      </w:r>
      <w:r>
        <w:t xml:space="preserve">While 75% renewable energy is commendable, strive for 100% renewable energy procurement for manufacturing sites, possibly through Power Purchase Agreements (PPAs) or on-site renewable generation.</w:t>
      </w:r>
    </w:p>
    <w:p>
      <w:pPr>
        <w:numPr>
          <w:ilvl w:val="0"/>
          <w:numId w:val="1013"/>
        </w:numPr>
        <w:pStyle w:val="Compact"/>
      </w:pPr>
      <w:r>
        <w:rPr>
          <w:bCs/>
          <w:b/>
        </w:rPr>
        <w:t xml:space="preserve">Optimize Logistics:</w:t>
      </w:r>
      <w:r>
        <w:t xml:space="preserve"> </w:t>
      </w:r>
      <w:r>
        <w:t xml:space="preserve">Explore more efficient transport modes (e.g., rail or sea where feasible) and optimize routes to reduce transport distances and emissions in both upstream and downstream logistics.</w:t>
      </w:r>
    </w:p>
    <w:p>
      <w:pPr>
        <w:numPr>
          <w:ilvl w:val="0"/>
          <w:numId w:val="1013"/>
        </w:numPr>
        <w:pStyle w:val="Compact"/>
      </w:pPr>
      <w:r>
        <w:rPr>
          <w:bCs/>
          <w:b/>
        </w:rPr>
        <w:t xml:space="preserve">Data Refinement:</w:t>
      </w:r>
      <w:r>
        <w:t xml:space="preserve"> </w:t>
      </w:r>
      <w:r>
        <w:t xml:space="preserve">Continuously gather primary, product-specific data for all lifecycle stages. This includes working closely with suppliers to obtain their specific emission factors for materials and processes.</w:t>
      </w:r>
    </w:p>
    <w:p>
      <w:pPr>
        <w:numPr>
          <w:ilvl w:val="0"/>
          <w:numId w:val="1013"/>
        </w:numPr>
        <w:pStyle w:val="Compact"/>
      </w:pPr>
      <w:r>
        <w:rPr>
          <w:bCs/>
          <w:b/>
        </w:rPr>
        <w:t xml:space="preserve">Integrate LSR Standard:</w:t>
      </w:r>
      <w:r>
        <w:t xml:space="preserve"> </w:t>
      </w:r>
      <w:r>
        <w:t xml:space="preserve">Proactively assess the relevance and impact of the 2026 GHG Protocol LSR Standard on qndxhizhhj\'s wider operations and supply chain, particularly if land-intensive materials are introduced in future products.</w:t>
      </w:r>
    </w:p>
    <w:p>
      <w:r>
        <w:pict>
          <v:rect style="width:0;height:1.5pt" o:hralign="center" o:hrstd="t" o:hr="t"/>
        </w:pict>
      </w:r>
    </w:p>
    <w:p>
      <w:pPr>
        <w:pStyle w:val="FirstParagraph"/>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roieiguxvw</dc:title>
  <dc:creator/>
  <dc:description>High-detail Product Carbon Footprint (PCF) analysis for roieiguxvw by qndxhizhhj, conducted by Senior Sustainability Consultant qeofzjvkul, adhering to GHG Protocol standards and 2026 LSR Update.</dc:description>
  <dc:language>en</dc:language>
  <cp:keywords/>
  <dcterms:created xsi:type="dcterms:W3CDTF">2026-07-15T17:58:40Z</dcterms:created>
  <dcterms:modified xsi:type="dcterms:W3CDTF">2026-07-15T17:58:40Z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