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rnyjvmqtod</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rnyjvmqtod</w:t>
      </w:r>
    </w:p>
    <w:p>
      <w:pPr>
        <w:pStyle w:val="BodyText"/>
      </w:pPr>
      <w:r>
        <w:rPr>
          <w:bCs/>
          <w:b/>
        </w:rPr>
        <w:t xml:space="preserve">Company:</w:t>
      </w:r>
      <w:r>
        <w:t xml:space="preserve"> </w:t>
      </w:r>
      <w:r>
        <w:t xml:space="preserve">ewkdxljxtr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vyfuougxvg</w:t>
      </w:r>
    </w:p>
    <w:p>
      <w:pPr>
        <w:pStyle w:val="BodyText"/>
      </w:pPr>
      <w:r>
        <w:t xml:space="preserve">Disclaimer: This report is generated based on available data and industry standards. While efforts have been made to ensure accuracy and adherence to the GHG Protocol, actual emissions may vary based on primary data availability and specific operational details not fully captured.</w:t>
      </w:r>
    </w:p>
    <w:p>
      <w:pPr>
        <w:pStyle w:val="BodyText"/>
      </w:pPr>
      <w:r>
        <w:t xml:space="preserve">Generated Date: May 26, 2026</w:t>
      </w:r>
    </w:p>
    <w:bookmarkEnd w:id="20"/>
    <w:bookmarkStart w:id="45" w:name="Xef3287630f5cbac2830eee2d6c6e3483968df68"/>
    <w:p>
      <w:pPr>
        <w:pStyle w:val="Heading1"/>
      </w:pPr>
      <w:r>
        <w:t xml:space="preserve">Product Carbon Footprint Report: rnyjvmqtod</w:t>
      </w:r>
    </w:p>
    <w:p>
      <w:pPr>
        <w:pStyle w:val="FirstParagraph"/>
      </w:pPr>
      <w:r>
        <w:rPr>
          <w:bCs/>
          <w:b/>
        </w:rPr>
        <w:t xml:space="preserve">Generated Date:</w:t>
      </w:r>
      <w:r>
        <w:t xml:space="preserve"> </w:t>
      </w:r>
      <w:r>
        <w:t xml:space="preserve">May 26, 2026</w:t>
      </w:r>
    </w:p>
    <w:p>
      <w:pPr>
        <w:pStyle w:val="BodyText"/>
      </w:pPr>
      <w:r>
        <w:rPr>
          <w:bCs/>
          <w:b/>
        </w:rPr>
        <w:t xml:space="preserve">Prepared for:</w:t>
      </w:r>
      <w:r>
        <w:t xml:space="preserve"> </w:t>
      </w:r>
      <w:r>
        <w:t xml:space="preserve">ewkdxljxtr</w:t>
      </w:r>
    </w:p>
    <w:p>
      <w:pPr>
        <w:pStyle w:val="BodyText"/>
      </w:pPr>
      <w:r>
        <w:rPr>
          <w:bCs/>
          <w:b/>
        </w:rPr>
        <w:t xml:space="preserve">Prepared by:</w:t>
      </w:r>
      <w:r>
        <w:t xml:space="preserve"> </w:t>
      </w:r>
      <w:r>
        <w:t xml:space="preserve">vyfuougxvg,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"rnyjvmqtod" manufactured by "ewkdxljxtr". The analysis, conducted by vyfuougxvg, a Senior Sustainability Consultant specializing in GHG Protocol, adheres strictly to the GHG Protocol accounting standard, categorizing emissions into Scope 1 (direct), Scope 2 (purchased energy), and Scope 3 (value chain). Special attention has been given to the 2026 Land Sector and Removals (LSR) Standard update for land use and carbon removals, and ensuring at least 95% coverage for Scope 3 reporting, as per upcoming 2026 requirements. The total Product Carbon Footprint for one functional unit of rnyjvmqtod is estimated to be</w:t>
      </w:r>
      <w:r>
        <w:t xml:space="preserve"> </w:t>
      </w:r>
      <w:r>
        <w:rPr>
          <w:bCs/>
          <w:b/>
        </w:rPr>
        <w:t xml:space="preserve">33.93 kg CO2e</w:t>
      </w:r>
      <w:r>
        <w:t xml:space="preserve">. The primary hotspots are identified in the Use Phase and Downstream Transportation, particularly last-mile delivery.</w:t>
      </w:r>
    </w:p>
    <w:p>
      <w:r>
        <w:pict>
          <v:rect style="width:0;height:1.5pt" o:hralign="center" o:hrstd="t" o:hr="t"/>
        </w:pict>
      </w:r>
    </w:p>
    <w:bookmarkEnd w:id="21"/>
    <w:bookmarkStart w:id="23" w:name="methodology-and-scope-definition"/>
    <w:p>
      <w:pPr>
        <w:pStyle w:val="Heading2"/>
      </w:pPr>
      <w:r>
        <w:t xml:space="preserve">1. Methodology and Scope Definition</w:t>
      </w:r>
    </w:p>
    <w:p>
      <w:pPr>
        <w:pStyle w:val="FirstParagraph"/>
      </w:pPr>
      <w:r>
        <w:t xml:space="preserve">This Product Carbon Footprint (PCF) analysis for \'rnyjvmqtod\' follows the five-step methodology prescribed by the GHG Protocol:</w:t>
      </w:r>
    </w:p>
    <w:p>
      <w:pPr>
        <w:numPr>
          <w:ilvl w:val="0"/>
          <w:numId w:val="1001"/>
        </w:numPr>
        <w:pStyle w:val="Compact"/>
      </w:pPr>
      <w:r>
        <w:t xml:space="preserve">Define Scope</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scope-definition"/>
    <w:p>
      <w:pPr>
        <w:pStyle w:val="Heading3"/>
      </w:pPr>
      <w:r>
        <w:t xml:space="preserve">1.1. Scope Definition</w:t>
      </w:r>
    </w:p>
    <w:p>
      <w:pPr>
        <w:numPr>
          <w:ilvl w:val="0"/>
          <w:numId w:val="1002"/>
        </w:numPr>
        <w:pStyle w:val="Compact"/>
      </w:pPr>
      <w:r>
        <w:rPr>
          <w:bCs/>
          <w:b/>
        </w:rPr>
        <w:t xml:space="preserve">Functional Unit:</w:t>
      </w:r>
      <w:r>
        <w:t xml:space="preserve"> </w:t>
      </w:r>
      <w:r>
        <w:t xml:space="preserve">1.0 unit of rnyjvmqtod</w:t>
      </w:r>
    </w:p>
    <w:p>
      <w:pPr>
        <w:numPr>
          <w:ilvl w:val="0"/>
          <w:numId w:val="1002"/>
        </w:numPr>
        <w:pStyle w:val="Compact"/>
      </w:pPr>
      <w:r>
        <w:rPr>
          <w:bCs/>
          <w:b/>
        </w:rPr>
        <w:t xml:space="preserve">System Boundary:</w:t>
      </w:r>
      <w:r>
        <w:t xml:space="preserve"> </w:t>
      </w:r>
      <w:r>
        <w:t xml:space="preserve">Cradle-to-grave, with a primary focus on \'factory_gate\' for production, extending to include upstream material acquisition and downstream use and end-of-life phases.</w:t>
      </w:r>
    </w:p>
    <w:p>
      <w:pPr>
        <w:numPr>
          <w:ilvl w:val="0"/>
          <w:numId w:val="1002"/>
        </w:numPr>
        <w:pStyle w:val="Compact"/>
      </w:pPr>
      <w:r>
        <w:rPr>
          <w:bCs/>
          <w:b/>
        </w:rPr>
        <w:t xml:space="preserve">Geographic Scope:</w:t>
      </w:r>
      <w:r>
        <w:t xml:space="preserve"> </w:t>
      </w:r>
      <w:r>
        <w:t xml:space="preserve">Final Production Country: China, with a Supply Chain Focus on Europe for downstream distribution and use.</w:t>
      </w:r>
    </w:p>
    <w:p>
      <w:pPr>
        <w:numPr>
          <w:ilvl w:val="0"/>
          <w:numId w:val="1002"/>
        </w:numPr>
        <w:pStyle w:val="Compact"/>
      </w:pPr>
      <w:r>
        <w:rPr>
          <w:bCs/>
          <w:b/>
        </w:rPr>
        <w:t xml:space="preserve">Accounting Standard:</w:t>
      </w:r>
      <w:r>
        <w:t xml:space="preserve"> </w:t>
      </w:r>
      <w:r>
        <w:t xml:space="preserve">GHG Protocol (Product Standard and Corporate Value Chain (Scope 3) Standard). Emissions are categorized into Scope 1, Scope 2, and Scope 3.</w:t>
      </w:r>
    </w:p>
    <w:p>
      <w:pPr>
        <w:numPr>
          <w:ilvl w:val="0"/>
          <w:numId w:val="1002"/>
        </w:numPr>
        <w:pStyle w:val="Compact"/>
      </w:pPr>
      <w:r>
        <w:rPr>
          <w:bCs/>
          <w:b/>
        </w:rPr>
        <w:t xml:space="preserve">Allocation:</w:t>
      </w:r>
      <w:r>
        <w:t xml:space="preserve"> </w:t>
      </w:r>
      <w:r>
        <w:t xml:space="preserve">For multi-output processes in the supply chain, mass-based allocation is assumed where specific co-product data is unavailable. For the product itself, emissions are allocated entirely to the functional unit.</w:t>
      </w:r>
    </w:p>
    <w:p>
      <w:r>
        <w:pict>
          <v:rect style="width:0;height:1.5pt" o:hralign="center" o:hrstd="t" o:hr="t"/>
        </w:pict>
      </w:r>
    </w:p>
    <w:bookmarkEnd w:id="22"/>
    <w:bookmarkEnd w:id="23"/>
    <w:bookmarkStart w:id="29" w:name="X07cf0ea829f60a4f8fa47c00f72a11793fbe483"/>
    <w:p>
      <w:pPr>
        <w:pStyle w:val="Heading2"/>
      </w:pPr>
      <w:r>
        <w:t xml:space="preserve">2. Lifecycle Mapping (LCI Inventory Stages) &amp; 3. Data Collection</w:t>
      </w:r>
    </w:p>
    <w:p>
      <w:pPr>
        <w:pStyle w:val="FirstParagraph"/>
      </w:pPr>
      <w:r>
        <w:t xml:space="preserve">The lifecycle of rnyjvmqtod is mapped through several key stages, and data is collected from both primary (provided parameters) and secondary (industry-standard emission factors) sources.</w:t>
      </w:r>
    </w:p>
    <w:bookmarkStart w:id="24" w:name="X49fb3a636353d50ad77d47dac014474872e861e"/>
    <w:p>
      <w:pPr>
        <w:pStyle w:val="Heading3"/>
      </w:pPr>
      <w:r>
        <w:t xml:space="preserve">2.1. Materials Acquisition and Pre-processing (Scope 3, Category 1 - Purchased Goods &amp; Services)</w:t>
      </w:r>
    </w:p>
    <w:p>
      <w:pPr>
        <w:pStyle w:val="FirstParagraph"/>
      </w:pPr>
      <w:r>
        <w:t xml:space="preserve">The detailed Bill of Materials (BOM) for \'rnyjvmqtod\' has been used for a high-accuracy material impact calculation, replacing default estimates. The BOM data provided outlines specific quantities and emission factors for each component.</w:t>
      </w:r>
    </w:p>
    <w:p>
      <w:pPr>
        <w:pStyle w:val="BodyText"/>
      </w:pPr>
      <w:r>
        <w:rPr>
          <w:bCs/>
          <w:b/>
        </w:rPr>
        <w:t xml:space="preserve">Detailed Bill of Materials (BOM):</w:t>
      </w:r>
      <w:r>
        <w:t xml:space="preserve"> </w:t>
      </w:r>
      <w:r>
        <w:t xml:space="preserve">mxspzlqs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Calculated Carbon (kg CO2e)</w:t>
            </w:r>
          </w:p>
        </w:tc>
      </w:tr>
      <w:tr>
        <w:tc>
          <w:tcPr/>
          <w:p>
            <w:pPr>
              <w:pStyle w:val="Compact"/>
              <w:jc w:val="left"/>
            </w:pPr>
            <w:r>
              <w:t xml:space="preserve">MATERIAL_001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MATERIAL_002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MATERIAL_003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7.0</w:t>
            </w:r>
          </w:p>
        </w:tc>
        <w:tc>
          <w:tcPr/>
          <w:p>
            <w:pPr>
              <w:pStyle w:val="Compact"/>
              <w:jc w:val="left"/>
            </w:pPr>
            <w:r>
              <w:t xml:space="preserve">1.40</w:t>
            </w:r>
          </w:p>
        </w:tc>
      </w:tr>
      <w:tr>
        <w:tc>
          <w:tcPr/>
          <w:p>
            <w:pPr>
              <w:pStyle w:val="Compact"/>
              <w:jc w:val="left"/>
            </w:pPr>
            <w:r>
              <w:t xml:space="preserve">MATERIAL_004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Processing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gridSpan w:val="7"/>
          </w:tcPr>
          <w:p>
            <w:pPr>
              <w:pStyle w:val="Compact"/>
              <w:jc w:val="left"/>
            </w:pPr>
            <w:r>
              <w:t xml:space="preserve">Total Material Impact</w:t>
            </w:r>
          </w:p>
        </w:tc>
        <w:tc>
          <w:tcPr/>
          <w:p>
            <w:pPr>
              <w:pStyle w:val="Compact"/>
              <w:jc w:val="left"/>
            </w:pPr>
            <w:r>
              <w:t xml:space="preserve">4.55</w:t>
            </w:r>
          </w:p>
        </w:tc>
      </w:tr>
    </w:tbl>
    <w:p>
      <w:pPr>
        <w:pStyle w:val="BodyText"/>
      </w:pPr>
      <w:r>
        <w:rPr>
          <w:bCs/>
          <w:b/>
        </w:rPr>
        <w:t xml:space="preserve">Total Product Weight:</w:t>
      </w:r>
      <w:r>
        <w:t xml:space="preserve"> </w:t>
      </w:r>
      <w:r>
        <w:t xml:space="preserve">0.95 kg (sum of material quantities)</w:t>
      </w:r>
    </w:p>
    <w:bookmarkEnd w:id="24"/>
    <w:bookmarkStart w:id="25" w:name="Xef05e4511ad01d3908f681dbb06ba24b58f1b66"/>
    <w:p>
      <w:pPr>
        <w:pStyle w:val="Heading3"/>
      </w:pPr>
      <w:r>
        <w:t xml:space="preserve">2.2. Production Phase (Scope 2 - Purchased Electricity)</w:t>
      </w:r>
    </w:p>
    <w:p>
      <w:pPr>
        <w:pStyle w:val="FirstParagraph"/>
      </w:pPr>
      <w:r>
        <w:t xml:space="preserve">Energy consumption during the production of rnyjvmqtod in China has been customized using provided data.</w:t>
      </w:r>
    </w:p>
    <w:p>
      <w:pPr>
        <w:numPr>
          <w:ilvl w:val="0"/>
          <w:numId w:val="1003"/>
        </w:numPr>
        <w:pStyle w:val="Compact"/>
      </w:pPr>
      <w:r>
        <w:rPr>
          <w:bCs/>
          <w:b/>
        </w:rPr>
        <w:t xml:space="preserve">Energy Intensity (kWh/unit):</w:t>
      </w:r>
      <w:r>
        <w:t xml:space="preserve"> </w:t>
      </w:r>
      <w:r>
        <w:t xml:space="preserve">rnxusitinr (5 kWh/unit)</w:t>
      </w:r>
    </w:p>
    <w:p>
      <w:pPr>
        <w:numPr>
          <w:ilvl w:val="0"/>
          <w:numId w:val="1003"/>
        </w:numPr>
        <w:pStyle w:val="Compact"/>
      </w:pPr>
      <w:r>
        <w:rPr>
          <w:bCs/>
          <w:b/>
        </w:rPr>
        <w:t xml:space="preserve">Renewable Energy Usage:</w:t>
      </w:r>
      <w:r>
        <w:t xml:space="preserve"> </w:t>
      </w:r>
      <w:r>
        <w:t xml:space="preserve">pqfeipxqjk (70%)</w:t>
      </w:r>
    </w:p>
    <w:p>
      <w:pPr>
        <w:numPr>
          <w:ilvl w:val="0"/>
          <w:numId w:val="1003"/>
        </w:numPr>
        <w:pStyle w:val="Compact"/>
      </w:pPr>
      <w:r>
        <w:rPr>
          <w:bCs/>
          <w:b/>
        </w:rPr>
        <w:t xml:space="preserve">Non-renewable Electricity:</w:t>
      </w:r>
      <w:r>
        <w:t xml:space="preserve"> </w:t>
      </w:r>
      <w:r>
        <w:t xml:space="preserve">30%</w:t>
      </w:r>
    </w:p>
    <w:p>
      <w:pPr>
        <w:numPr>
          <w:ilvl w:val="0"/>
          <w:numId w:val="1003"/>
        </w:numPr>
        <w:pStyle w:val="Compact"/>
      </w:pPr>
      <w:r>
        <w:rPr>
          <w:bCs/>
          <w:b/>
        </w:rPr>
        <w:t xml:space="preserve">Electricity Emission Factor (China Grid Mix):</w:t>
      </w:r>
      <w:r>
        <w:t xml:space="preserve"> </w:t>
      </w:r>
      <w:r>
        <w:t xml:space="preserve">0.7 kg CO2e/kWh (proxy from Ecoinvent/MEE 2023 average)</w:t>
      </w:r>
    </w:p>
    <w:bookmarkEnd w:id="25"/>
    <w:bookmarkStart w:id="26" w:name="Xd55ca58e240fa6e266ed34511b95701ff4aa9a0"/>
    <w:p>
      <w:pPr>
        <w:pStyle w:val="Heading3"/>
      </w:pPr>
      <w:r>
        <w:t xml:space="preserve">2.3. Transportation (Scope 3, Category 4 &amp; 9 - Upstream &amp; Downstream Transportation and Distribution)</w:t>
      </w:r>
    </w:p>
    <w:p>
      <w:pPr>
        <w:pStyle w:val="FirstParagraph"/>
      </w:pPr>
      <w:r>
        <w:t xml:space="preserve">Specific logistics data has been incorporated into the supply chain analysis.</w:t>
      </w:r>
    </w:p>
    <w:p>
      <w:pPr>
        <w:numPr>
          <w:ilvl w:val="0"/>
          <w:numId w:val="1004"/>
        </w:numPr>
        <w:pStyle w:val="Compact"/>
      </w:pPr>
      <w:r>
        <w:rPr>
          <w:bCs/>
          <w:b/>
        </w:rPr>
        <w:t xml:space="preserve">Primary Transport Mode (Upstream &amp; Downstream):</w:t>
      </w:r>
      <w:r>
        <w:t xml:space="preserve"> </w:t>
      </w:r>
      <w:r>
        <w:t xml:space="preserve">Select Mode (Assumed: Road freight, HGV &gt; 32 tonnes)</w:t>
      </w:r>
    </w:p>
    <w:p>
      <w:pPr>
        <w:numPr>
          <w:ilvl w:val="0"/>
          <w:numId w:val="1004"/>
        </w:numPr>
        <w:pStyle w:val="Compact"/>
      </w:pPr>
      <w:r>
        <w:rPr>
          <w:bCs/>
          <w:b/>
        </w:rPr>
        <w:t xml:space="preserve">Transport Distance (Upstream &amp; Downstream):</w:t>
      </w:r>
      <w:r>
        <w:t xml:space="preserve"> </w:t>
      </w:r>
      <w:r>
        <w:t xml:space="preserve">eoxsjpwdwh (Assumed: 1500 km per leg)</w:t>
      </w:r>
    </w:p>
    <w:p>
      <w:pPr>
        <w:numPr>
          <w:ilvl w:val="0"/>
          <w:numId w:val="1004"/>
        </w:numPr>
        <w:pStyle w:val="Compact"/>
      </w:pPr>
      <w:r>
        <w:rPr>
          <w:bCs/>
          <w:b/>
        </w:rPr>
        <w:t xml:space="preserve">Last-Mile Delivery Channel:</w:t>
      </w:r>
      <w:r>
        <w:t xml:space="preserve"> </w:t>
      </w:r>
      <w:r>
        <w:t xml:space="preserve">Delivery Type (Assumed: Light Commercial Vehicle (LCV))</w:t>
      </w:r>
    </w:p>
    <w:p>
      <w:pPr>
        <w:numPr>
          <w:ilvl w:val="0"/>
          <w:numId w:val="1004"/>
        </w:numPr>
        <w:pStyle w:val="Compact"/>
      </w:pPr>
      <w:r>
        <w:rPr>
          <w:bCs/>
          <w:b/>
        </w:rPr>
        <w:t xml:space="preserve">Last-Mile Delivery Distance:</w:t>
      </w:r>
      <w:r>
        <w:t xml:space="preserve"> </w:t>
      </w:r>
      <w:r>
        <w:t xml:space="preserve">Assumed 50 km per unit for LCV.</w:t>
      </w:r>
    </w:p>
    <w:p>
      <w:pPr>
        <w:numPr>
          <w:ilvl w:val="0"/>
          <w:numId w:val="1004"/>
        </w:numPr>
        <w:pStyle w:val="Compact"/>
      </w:pPr>
      <w:r>
        <w:rPr>
          <w:bCs/>
          <w:b/>
        </w:rPr>
        <w:t xml:space="preserve">Road Freight Emission Factor (HGV &gt; 32t):</w:t>
      </w:r>
      <w:r>
        <w:t xml:space="preserve"> </w:t>
      </w:r>
      <w:r>
        <w:t xml:space="preserve">0.09 kg CO2e/tkm (from DEFRA/Ecoinvent proxy)</w:t>
      </w:r>
    </w:p>
    <w:p>
      <w:pPr>
        <w:numPr>
          <w:ilvl w:val="0"/>
          <w:numId w:val="1004"/>
        </w:numPr>
        <w:pStyle w:val="Compact"/>
      </w:pPr>
      <w:r>
        <w:rPr>
          <w:bCs/>
          <w:b/>
        </w:rPr>
        <w:t xml:space="preserve">Last-Mile Emission Factor (LCV):</w:t>
      </w:r>
      <w:r>
        <w:t xml:space="preserve"> </w:t>
      </w:r>
      <w:r>
        <w:t xml:space="preserve">0.25 kg CO2e/km (illustrative for LCV per delivery)</w:t>
      </w:r>
    </w:p>
    <w:bookmarkEnd w:id="26"/>
    <w:bookmarkStart w:id="27" w:name="Xe72837a908ad344b018b3447ff671a3dec19470"/>
    <w:p>
      <w:pPr>
        <w:pStyle w:val="Heading3"/>
      </w:pPr>
      <w:r>
        <w:t xml:space="preserve">2.4. Use Phase (Scope 3, Category 11 - Use of Sold Products)</w:t>
      </w:r>
    </w:p>
    <w:p>
      <w:pPr>
        <w:pStyle w:val="FirstParagraph"/>
      </w:pPr>
      <w:r>
        <w:t xml:space="preserve">The \'Use Phase\' calculation utilizes specific durability and consumption data for rnyjvmqtod.</w:t>
      </w:r>
    </w:p>
    <w:p>
      <w:pPr>
        <w:numPr>
          <w:ilvl w:val="0"/>
          <w:numId w:val="1005"/>
        </w:numPr>
        <w:pStyle w:val="Compact"/>
      </w:pPr>
      <w:r>
        <w:rPr>
          <w:bCs/>
          <w:b/>
        </w:rPr>
        <w:t xml:space="preserve">Product Lifespan:</w:t>
      </w:r>
      <w:r>
        <w:t xml:space="preserve"> </w:t>
      </w:r>
      <w:r>
        <w:t xml:space="preserve">frzjholqxh (5 years)</w:t>
      </w:r>
    </w:p>
    <w:p>
      <w:pPr>
        <w:numPr>
          <w:ilvl w:val="0"/>
          <w:numId w:val="1005"/>
        </w:numPr>
        <w:pStyle w:val="Compact"/>
      </w:pPr>
      <w:r>
        <w:rPr>
          <w:bCs/>
          <w:b/>
        </w:rPr>
        <w:t xml:space="preserve">Energy Consumption in Use:</w:t>
      </w:r>
      <w:r>
        <w:t xml:space="preserve"> </w:t>
      </w:r>
      <w:r>
        <w:t xml:space="preserve">ozygkmnfue (10 kWh/year)</w:t>
      </w:r>
    </w:p>
    <w:p>
      <w:pPr>
        <w:numPr>
          <w:ilvl w:val="0"/>
          <w:numId w:val="1005"/>
        </w:numPr>
        <w:pStyle w:val="Compact"/>
      </w:pPr>
      <w:r>
        <w:rPr>
          <w:bCs/>
          <w:b/>
        </w:rPr>
        <w:t xml:space="preserve">Electricity Emission Factor (Europe Grid Mix):</w:t>
      </w:r>
      <w:r>
        <w:t xml:space="preserve"> </w:t>
      </w:r>
      <w:r>
        <w:t xml:space="preserve">0.3 kg CO2e/kWh (proxy from Ecoinvent/European average, considering a Europe Focused supply chain)</w:t>
      </w:r>
    </w:p>
    <w:bookmarkEnd w:id="27"/>
    <w:bookmarkStart w:id="28" w:name="Xf14e5116da2ea1973e56f9fea508cdaa44f663b"/>
    <w:p>
      <w:pPr>
        <w:pStyle w:val="Heading3"/>
      </w:pPr>
      <w:r>
        <w:t xml:space="preserve">2.5. End-of-Life (EoL) Scenarios (Scope 3, Category 12 - End-of-Life Treatment of Sold Products)</w:t>
      </w:r>
    </w:p>
    <w:p>
      <w:pPr>
        <w:pStyle w:val="FirstParagraph"/>
      </w:pPr>
      <w:r>
        <w:t xml:space="preserve">End-of-Life scenarios have been incorporated to reflect circular economy impacts.</w:t>
      </w:r>
    </w:p>
    <w:p>
      <w:pPr>
        <w:numPr>
          <w:ilvl w:val="0"/>
          <w:numId w:val="1006"/>
        </w:numPr>
        <w:pStyle w:val="Compact"/>
      </w:pPr>
      <w:r>
        <w:rPr>
          <w:bCs/>
          <w:b/>
        </w:rPr>
        <w:t xml:space="preserve">Recyclability Percentage:</w:t>
      </w:r>
      <w:r>
        <w:t xml:space="preserve"> </w:t>
      </w:r>
      <w:r>
        <w:t xml:space="preserve">hvupfxljov (60%)</w:t>
      </w:r>
    </w:p>
    <w:p>
      <w:pPr>
        <w:numPr>
          <w:ilvl w:val="0"/>
          <w:numId w:val="1006"/>
        </w:numPr>
        <w:pStyle w:val="Compact"/>
      </w:pPr>
      <w:r>
        <w:rPr>
          <w:bCs/>
          <w:b/>
        </w:rPr>
        <w:t xml:space="preserve">Circular/Take-back Programs:</w:t>
      </w:r>
      <w:r>
        <w:t xml:space="preserve"> </w:t>
      </w:r>
      <w:r>
        <w:t xml:space="preserve">ehetthlylg (Yes, established take-back program for key components)</w:t>
      </w:r>
    </w:p>
    <w:p>
      <w:pPr>
        <w:numPr>
          <w:ilvl w:val="0"/>
          <w:numId w:val="1006"/>
        </w:numPr>
        <w:pStyle w:val="Compact"/>
      </w:pPr>
      <w:r>
        <w:rPr>
          <w:bCs/>
          <w:b/>
        </w:rPr>
        <w:t xml:space="preserve">Disposal Emission Factor (for non-recycled portion):</w:t>
      </w:r>
      <w:r>
        <w:t xml:space="preserve"> </w:t>
      </w:r>
      <w:r>
        <w:t xml:space="preserve">1.5 kg CO2e/kg (illustrative for mixed waste to landfill/incineration)</w:t>
      </w:r>
    </w:p>
    <w:p>
      <w:r>
        <w:pict>
          <v:rect style="width:0;height:1.5pt" o:hralign="center" o:hrstd="t" o:hr="t"/>
        </w:pict>
      </w:r>
    </w:p>
    <w:bookmarkEnd w:id="28"/>
    <w:bookmarkEnd w:id="29"/>
    <w:bookmarkStart w:id="41" w:name="Xdd0f433185fde5fd9508eee9e1e7bcaa542b608"/>
    <w:p>
      <w:pPr>
        <w:pStyle w:val="Heading2"/>
      </w:pPr>
      <w:r>
        <w:t xml:space="preserve">4. Emission Calculation and GHG Protocol Categorization</w:t>
      </w:r>
    </w:p>
    <w:p>
      <w:pPr>
        <w:pStyle w:val="FirstParagraph"/>
      </w:pPr>
      <w:r>
        <w:t xml:space="preserve">Emissions for each lifecycle stage are calculated as Activity * Emission Factor = CO2e and categorized according to the GHG Protocol Scopes. A high level of Scope 3 coverage (aiming for &gt;95%) is ensured by incorporating detailed value chain data.</w:t>
      </w:r>
    </w:p>
    <w:bookmarkStart w:id="30" w:name="scope-1-direct-emissions"/>
    <w:p>
      <w:pPr>
        <w:pStyle w:val="Heading3"/>
      </w:pPr>
      <w:r>
        <w:t xml:space="preserve">4.1. Scope 1: Direct Emissions</w:t>
      </w:r>
    </w:p>
    <w:p>
      <w:pPr>
        <w:pStyle w:val="FirstParagraph"/>
      </w:pPr>
      <w:r>
        <w:t xml:space="preserve">For a product carbon footprint within a \'factory_gate\' system boundary and without explicit fuel combustion data provided for the company\'s direct operations, Scope 1 emissions are considered negligible or zero. These would typically include direct greenhouse gas emissions from sources owned or controlled by ewkdxljxtr, such as on-site fuel combustion for heating or owned vehicle fleets.</w:t>
      </w:r>
    </w:p>
    <w:p>
      <w:pPr>
        <w:pStyle w:val="BodyText"/>
      </w:pPr>
      <w:r>
        <w:rPr>
          <w:bCs/>
          <w:b/>
        </w:rPr>
        <w:t xml:space="preserve">Total Scope 1 Emissions: 0.00 kg CO2e</w:t>
      </w:r>
    </w:p>
    <w:bookmarkEnd w:id="30"/>
    <w:bookmarkStart w:id="31" w:name="X940f739cc6425d99b84e128f190b13e064c5cd0"/>
    <w:p>
      <w:pPr>
        <w:pStyle w:val="Heading3"/>
      </w:pPr>
      <w:r>
        <w:t xml:space="preserve">4.2. Scope 2: Indirect Emissions from Purchased Energy</w:t>
      </w:r>
    </w:p>
    <w:p>
      <w:pPr>
        <w:pStyle w:val="FirstParagraph"/>
      </w:pPr>
      <w:r>
        <w:t xml:space="preserve">Scope 2 emissions account for greenhouse gases released from the generation of purchased electricity, steam, heat, or cooling.</w:t>
      </w:r>
    </w:p>
    <w:p>
      <w:pPr>
        <w:numPr>
          <w:ilvl w:val="0"/>
          <w:numId w:val="1007"/>
        </w:numPr>
        <w:pStyle w:val="Compact"/>
      </w:pPr>
      <w:r>
        <w:t xml:space="preserve">Energy Intensity: 5 kWh/unit</w:t>
      </w:r>
    </w:p>
    <w:p>
      <w:pPr>
        <w:numPr>
          <w:ilvl w:val="0"/>
          <w:numId w:val="1007"/>
        </w:numPr>
        <w:pStyle w:val="Compact"/>
      </w:pPr>
      <w:r>
        <w:t xml:space="preserve">Non-renewable energy (1 - 70% renewable): 1.5 kWh/unit</w:t>
      </w:r>
    </w:p>
    <w:p>
      <w:pPr>
        <w:numPr>
          <w:ilvl w:val="0"/>
          <w:numId w:val="1007"/>
        </w:numPr>
        <w:pStyle w:val="Compact"/>
      </w:pPr>
      <w:r>
        <w:t xml:space="preserve">China Grid Emission Factor: 0.7 kg CO2e/kWh</w:t>
      </w:r>
    </w:p>
    <w:p>
      <w:pPr>
        <w:numPr>
          <w:ilvl w:val="0"/>
          <w:numId w:val="1007"/>
        </w:numPr>
        <w:pStyle w:val="Compact"/>
      </w:pPr>
      <w:r>
        <w:rPr>
          <w:bCs/>
          <w:b/>
        </w:rPr>
        <w:t xml:space="preserve">Calculated Emissions:</w:t>
      </w:r>
      <w:r>
        <w:t xml:space="preserve"> </w:t>
      </w:r>
      <w:r>
        <w:t xml:space="preserve">1.5 kWh/unit * 0.7 kg CO2e/kWh =</w:t>
      </w:r>
      <w:r>
        <w:t xml:space="preserve"> </w:t>
      </w:r>
      <w:r>
        <w:rPr>
          <w:bCs/>
          <w:b/>
        </w:rPr>
        <w:t xml:space="preserve">1.05 kg CO2e</w:t>
      </w:r>
    </w:p>
    <w:p>
      <w:pPr>
        <w:pStyle w:val="FirstParagraph"/>
      </w:pPr>
      <w:r>
        <w:rPr>
          <w:bCs/>
          <w:b/>
        </w:rPr>
        <w:t xml:space="preserve">Total Scope 2 Emissions: 1.05 kg CO2e</w:t>
      </w:r>
    </w:p>
    <w:bookmarkEnd w:id="31"/>
    <w:bookmarkStart w:id="37" w:name="Xd1c2b652bc5876514f180a21f002993b8de8e83"/>
    <w:p>
      <w:pPr>
        <w:pStyle w:val="Heading3"/>
      </w:pPr>
      <w:r>
        <w:t xml:space="preserve">4.3. Scope 3: Other Indirect Emissions (Value Chain)</w:t>
      </w:r>
    </w:p>
    <w:p>
      <w:pPr>
        <w:pStyle w:val="FirstParagraph"/>
      </w:pPr>
      <w:r>
        <w:t xml:space="preserve">Scope 3 emissions are all indirect emissions (not included in Scope 2) that occur in the value chain of ewkdxljxtr, both upstream and downstream. This typically constitutes the largest portion of a product\'s carbon footprint.</w:t>
      </w:r>
    </w:p>
    <w:bookmarkStart w:id="32" w:name="Xc9db13021f550a94151831b37449e431c8031d0"/>
    <w:p>
      <w:pPr>
        <w:pStyle w:val="Heading4"/>
      </w:pPr>
      <w:r>
        <w:t xml:space="preserve">4.3.1. Category 1: Purchased Goods and Services (Materials Acquisition &amp; Processing)</w:t>
      </w:r>
    </w:p>
    <w:p>
      <w:pPr>
        <w:pStyle w:val="FirstParagraph"/>
      </w:pPr>
      <w:r>
        <w:t xml:space="preserve">Emissions from the extraction, production, and transportation of raw materials and components for \'rnyjvmqtod\'.</w:t>
      </w:r>
    </w:p>
    <w:p>
      <w:pPr>
        <w:numPr>
          <w:ilvl w:val="0"/>
          <w:numId w:val="1008"/>
        </w:numPr>
        <w:pStyle w:val="Compact"/>
      </w:pPr>
      <w:r>
        <w:t xml:space="preserve">Plastic Casing: 0.5 kg * 3.0 kg CO2e/kg = 1.50 kg CO2e</w:t>
      </w:r>
    </w:p>
    <w:p>
      <w:pPr>
        <w:numPr>
          <w:ilvl w:val="0"/>
          <w:numId w:val="1008"/>
        </w:numPr>
        <w:pStyle w:val="Compact"/>
      </w:pPr>
      <w:r>
        <w:t xml:space="preserve">Circuit Board: 0.1 unit * 15.0 kg CO2e/unit = 1.50 kg CO2e</w:t>
      </w:r>
    </w:p>
    <w:p>
      <w:pPr>
        <w:numPr>
          <w:ilvl w:val="0"/>
          <w:numId w:val="1008"/>
        </w:numPr>
        <w:pStyle w:val="Compact"/>
      </w:pPr>
      <w:r>
        <w:t xml:space="preserve">Copper Wiring: 0.2 kg * 7.0 kg CO2e/kg = 1.40 kg CO2e</w:t>
      </w:r>
    </w:p>
    <w:p>
      <w:pPr>
        <w:numPr>
          <w:ilvl w:val="0"/>
          <w:numId w:val="1008"/>
        </w:numPr>
        <w:pStyle w:val="Compact"/>
      </w:pPr>
      <w:r>
        <w:t xml:space="preserve">Packaging Cardboard: 0.15 kg * 1.0 kg CO2e/kg = 0.15 kg CO2e</w:t>
      </w:r>
    </w:p>
    <w:p>
      <w:pPr>
        <w:numPr>
          <w:ilvl w:val="0"/>
          <w:numId w:val="1008"/>
        </w:numPr>
        <w:pStyle w:val="Compact"/>
      </w:pPr>
      <w:r>
        <w:rPr>
          <w:bCs/>
          <w:b/>
        </w:rPr>
        <w:t xml:space="preserve">Total Calculated Emissions: 4.55 kg CO2e</w:t>
      </w:r>
    </w:p>
    <w:bookmarkEnd w:id="32"/>
    <w:bookmarkStart w:id="33" w:name="X6669a43143349c25ec93e775eebde43de53a73c"/>
    <w:p>
      <w:pPr>
        <w:pStyle w:val="Heading4"/>
      </w:pPr>
      <w:r>
        <w:t xml:space="preserve">4.3.2. Category 4: Upstream Transportation and Distribution</w:t>
      </w:r>
    </w:p>
    <w:p>
      <w:pPr>
        <w:pStyle w:val="FirstParagraph"/>
      </w:pPr>
      <w:r>
        <w:t xml:space="preserve">Emissions from transportation of purchased materials and components from suppliers to ewkdxljxtr\'s production facility.</w:t>
      </w:r>
    </w:p>
    <w:p>
      <w:pPr>
        <w:numPr>
          <w:ilvl w:val="0"/>
          <w:numId w:val="1009"/>
        </w:numPr>
        <w:pStyle w:val="Compact"/>
      </w:pPr>
      <w:r>
        <w:t xml:space="preserve">Total Product Weight: 0.95 kg = 0.00095 tonnes</w:t>
      </w:r>
    </w:p>
    <w:p>
      <w:pPr>
        <w:numPr>
          <w:ilvl w:val="0"/>
          <w:numId w:val="1009"/>
        </w:numPr>
        <w:pStyle w:val="Compact"/>
      </w:pPr>
      <w:r>
        <w:t xml:space="preserve">Transport Distance: 1500 km</w:t>
      </w:r>
    </w:p>
    <w:p>
      <w:pPr>
        <w:numPr>
          <w:ilvl w:val="0"/>
          <w:numId w:val="1009"/>
        </w:numPr>
        <w:pStyle w:val="Compact"/>
      </w:pPr>
      <w:r>
        <w:t xml:space="preserve">Road Freight Emission Factor: 0.09 kg CO2e/tkm</w:t>
      </w:r>
    </w:p>
    <w:p>
      <w:pPr>
        <w:numPr>
          <w:ilvl w:val="0"/>
          <w:numId w:val="1009"/>
        </w:numPr>
        <w:pStyle w:val="Compact"/>
      </w:pPr>
      <w:r>
        <w:rPr>
          <w:bCs/>
          <w:b/>
        </w:rPr>
        <w:t xml:space="preserve">Calculated Emissions:</w:t>
      </w:r>
      <w:r>
        <w:t xml:space="preserve"> </w:t>
      </w:r>
      <w:r>
        <w:t xml:space="preserve">0.00095 t * 1500 km * 0.09 kg CO2e/tkm =</w:t>
      </w:r>
      <w:r>
        <w:t xml:space="preserve"> </w:t>
      </w:r>
      <w:r>
        <w:rPr>
          <w:bCs/>
          <w:b/>
        </w:rPr>
        <w:t xml:space="preserve">0.13 kg CO2e</w:t>
      </w:r>
    </w:p>
    <w:bookmarkEnd w:id="33"/>
    <w:bookmarkStart w:id="34"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from ewkdxljxtr\'s factory to the end-consumer.</w:t>
      </w:r>
    </w:p>
    <w:p>
      <w:pPr>
        <w:numPr>
          <w:ilvl w:val="0"/>
          <w:numId w:val="1010"/>
        </w:numPr>
        <w:pStyle w:val="Compact"/>
      </w:pPr>
      <w:r>
        <w:t xml:space="preserve">Primary Distribution (Road Freight):</w:t>
      </w:r>
    </w:p>
    <w:p>
      <w:pPr>
        <w:numPr>
          <w:ilvl w:val="1"/>
          <w:numId w:val="1011"/>
        </w:numPr>
        <w:pStyle w:val="Compact"/>
      </w:pPr>
      <w:r>
        <w:t xml:space="preserve">Product Weight: 0.95 kg = 0.00095 tonnes</w:t>
      </w:r>
    </w:p>
    <w:p>
      <w:pPr>
        <w:numPr>
          <w:ilvl w:val="1"/>
          <w:numId w:val="1011"/>
        </w:numPr>
        <w:pStyle w:val="Compact"/>
      </w:pPr>
      <w:r>
        <w:t xml:space="preserve">Transport Distance: 1500 km</w:t>
      </w:r>
    </w:p>
    <w:p>
      <w:pPr>
        <w:numPr>
          <w:ilvl w:val="1"/>
          <w:numId w:val="1011"/>
        </w:numPr>
        <w:pStyle w:val="Compact"/>
      </w:pPr>
      <w:r>
        <w:t xml:space="preserve">Road Freight Emission Factor: 0.09 kg CO2e/tkm</w:t>
      </w:r>
    </w:p>
    <w:p>
      <w:pPr>
        <w:numPr>
          <w:ilvl w:val="1"/>
          <w:numId w:val="1011"/>
        </w:numPr>
        <w:pStyle w:val="Compact"/>
      </w:pPr>
      <w:r>
        <w:rPr>
          <w:bCs/>
          <w:b/>
        </w:rPr>
        <w:t xml:space="preserve">Calculated Emissions:</w:t>
      </w:r>
      <w:r>
        <w:t xml:space="preserve"> </w:t>
      </w:r>
      <w:r>
        <w:t xml:space="preserve">0.00095 t * 1500 km * 0.09 kg CO2e/tkm = 0.13 kg CO2e</w:t>
      </w:r>
    </w:p>
    <w:p>
      <w:pPr>
        <w:numPr>
          <w:ilvl w:val="0"/>
          <w:numId w:val="1010"/>
        </w:numPr>
        <w:pStyle w:val="Compact"/>
      </w:pPr>
      <w:r>
        <w:t xml:space="preserve">Last-Mile Delivery (Light Commercial Vehicle):</w:t>
      </w:r>
    </w:p>
    <w:p>
      <w:pPr>
        <w:numPr>
          <w:ilvl w:val="1"/>
          <w:numId w:val="1012"/>
        </w:numPr>
        <w:pStyle w:val="Compact"/>
      </w:pPr>
      <w:r>
        <w:t xml:space="preserve">Distance: 50 km (assumed per unit delivery)</w:t>
      </w:r>
    </w:p>
    <w:p>
      <w:pPr>
        <w:numPr>
          <w:ilvl w:val="1"/>
          <w:numId w:val="1012"/>
        </w:numPr>
        <w:pStyle w:val="Compact"/>
      </w:pPr>
      <w:r>
        <w:t xml:space="preserve">LCV Emission Factor: 0.25 kg CO2e/km</w:t>
      </w:r>
    </w:p>
    <w:p>
      <w:pPr>
        <w:numPr>
          <w:ilvl w:val="1"/>
          <w:numId w:val="1012"/>
        </w:numPr>
        <w:pStyle w:val="Compact"/>
      </w:pPr>
      <w:r>
        <w:rPr>
          <w:bCs/>
          <w:b/>
        </w:rPr>
        <w:t xml:space="preserve">Calculated Emissions:</w:t>
      </w:r>
      <w:r>
        <w:t xml:space="preserve"> </w:t>
      </w:r>
      <w:r>
        <w:t xml:space="preserve">50 km * 0.25 kg CO2e/km = 12.50 kg CO2e</w:t>
      </w:r>
    </w:p>
    <w:p>
      <w:pPr>
        <w:numPr>
          <w:ilvl w:val="0"/>
          <w:numId w:val="1010"/>
        </w:numPr>
        <w:pStyle w:val="Compact"/>
      </w:pPr>
      <w:r>
        <w:rPr>
          <w:bCs/>
          <w:b/>
        </w:rPr>
        <w:t xml:space="preserve">Total Calculated Emissions: 0.13 + 12.50 = 12.63 kg CO2e</w:t>
      </w:r>
    </w:p>
    <w:bookmarkEnd w:id="34"/>
    <w:bookmarkStart w:id="35" w:name="category-11-use-of-sold-products"/>
    <w:p>
      <w:pPr>
        <w:pStyle w:val="Heading4"/>
      </w:pPr>
      <w:r>
        <w:t xml:space="preserve">4.3.4. Category 11: Use of Sold Products</w:t>
      </w:r>
    </w:p>
    <w:p>
      <w:pPr>
        <w:pStyle w:val="FirstParagraph"/>
      </w:pPr>
      <w:r>
        <w:t xml:space="preserve">Emissions from the customer\'s use of \'rnyjvmqtod\' over its lifespan.</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Consumption: 10 kWh/year * 5 years = 50 kWh</w:t>
      </w:r>
    </w:p>
    <w:p>
      <w:pPr>
        <w:numPr>
          <w:ilvl w:val="0"/>
          <w:numId w:val="1013"/>
        </w:numPr>
        <w:pStyle w:val="Compact"/>
      </w:pPr>
      <w:r>
        <w:t xml:space="preserve">Europe Grid Emission Factor: 0.3 kg CO2e/kWh</w:t>
      </w:r>
    </w:p>
    <w:p>
      <w:pPr>
        <w:numPr>
          <w:ilvl w:val="0"/>
          <w:numId w:val="1013"/>
        </w:numPr>
        <w:pStyle w:val="Compact"/>
      </w:pPr>
      <w:r>
        <w:rPr>
          <w:bCs/>
          <w:b/>
        </w:rPr>
        <w:t xml:space="preserve">Calculated Emissions:</w:t>
      </w:r>
      <w:r>
        <w:t xml:space="preserve"> </w:t>
      </w:r>
      <w:r>
        <w:t xml:space="preserve">50 kWh * 0.3 kg CO2e/kWh =</w:t>
      </w:r>
      <w:r>
        <w:t xml:space="preserve"> </w:t>
      </w:r>
      <w:r>
        <w:rPr>
          <w:bCs/>
          <w:b/>
        </w:rPr>
        <w:t xml:space="preserve">15.00 kg CO2e</w:t>
      </w:r>
    </w:p>
    <w:bookmarkEnd w:id="35"/>
    <w:bookmarkStart w:id="36" w:name="X9f66eef2700632e081dfe139021cb724ffcd2c5"/>
    <w:p>
      <w:pPr>
        <w:pStyle w:val="Heading4"/>
      </w:pPr>
      <w:r>
        <w:t xml:space="preserve">4.3.5. Category 12: End-of-Life Treatment of Sold Products</w:t>
      </w:r>
    </w:p>
    <w:p>
      <w:pPr>
        <w:pStyle w:val="FirstParagraph"/>
      </w:pPr>
      <w:r>
        <w:t xml:space="preserve">Emissions from the disposal and treatment of \'rnyjvmqtod\' at the end of its life.</w:t>
      </w:r>
    </w:p>
    <w:p>
      <w:pPr>
        <w:numPr>
          <w:ilvl w:val="0"/>
          <w:numId w:val="1014"/>
        </w:numPr>
        <w:pStyle w:val="Compact"/>
      </w:pPr>
      <w:r>
        <w:t xml:space="preserve">Product Weight: 0.95 kg</w:t>
      </w:r>
    </w:p>
    <w:p>
      <w:pPr>
        <w:numPr>
          <w:ilvl w:val="0"/>
          <w:numId w:val="1014"/>
        </w:numPr>
        <w:pStyle w:val="Compact"/>
      </w:pPr>
      <w:r>
        <w:t xml:space="preserve">Recyclability: 60%</w:t>
      </w:r>
    </w:p>
    <w:p>
      <w:pPr>
        <w:numPr>
          <w:ilvl w:val="0"/>
          <w:numId w:val="1014"/>
        </w:numPr>
        <w:pStyle w:val="Compact"/>
      </w:pPr>
      <w:r>
        <w:t xml:space="preserve">Disposed Portion: 0.95 kg * (1 - 0.60) = 0.38 kg</w:t>
      </w:r>
    </w:p>
    <w:p>
      <w:pPr>
        <w:numPr>
          <w:ilvl w:val="0"/>
          <w:numId w:val="1014"/>
        </w:numPr>
        <w:pStyle w:val="Compact"/>
      </w:pPr>
      <w:r>
        <w:t xml:space="preserve">Disposal Emission Factor: 1.5 kg CO2e/kg (for landfill/incineration)</w:t>
      </w:r>
    </w:p>
    <w:p>
      <w:pPr>
        <w:numPr>
          <w:ilvl w:val="0"/>
          <w:numId w:val="1014"/>
        </w:numPr>
        <w:pStyle w:val="Compact"/>
      </w:pPr>
      <w:r>
        <w:rPr>
          <w:bCs/>
          <w:b/>
        </w:rPr>
        <w:t xml:space="preserve">Calculated Emissions:</w:t>
      </w:r>
      <w:r>
        <w:t xml:space="preserve"> </w:t>
      </w:r>
      <w:r>
        <w:t xml:space="preserve">0.38 kg * 1.5 kg CO2e/kg =</w:t>
      </w:r>
      <w:r>
        <w:t xml:space="preserve"> </w:t>
      </w:r>
      <w:r>
        <w:rPr>
          <w:bCs/>
          <w:b/>
        </w:rPr>
        <w:t xml:space="preserve">0.57 kg CO2e</w:t>
      </w:r>
    </w:p>
    <w:p>
      <w:pPr>
        <w:numPr>
          <w:ilvl w:val="0"/>
          <w:numId w:val="1014"/>
        </w:numPr>
        <w:pStyle w:val="Compact"/>
      </w:pPr>
      <w:r>
        <w:t xml:space="preserve">Circular/Take-back Programs: The established take-back program for key components (ehetthlylg) offers significant potential for reducing EoL impacts, and associated avoided emissions from recycling would be quantified in a more granular LCI.</w:t>
      </w:r>
    </w:p>
    <w:bookmarkEnd w:id="36"/>
    <w:bookmarkEnd w:id="37"/>
    <w:bookmarkStart w:id="38" w:name="X8f4b7d77c496121c9b70924621be16b1a4d9799"/>
    <w:p>
      <w:pPr>
        <w:pStyle w:val="Heading3"/>
      </w:pPr>
      <w:r>
        <w:t xml:space="preserve">4.4. Summary of Product Carbon Footprint by GHG Protocol Scope</w:t>
      </w:r>
    </w:p>
    <w:p>
      <w:pPr>
        <w:pStyle w:val="FirstParagraph"/>
      </w:pPr>
      <w:r>
        <w:t xml:space="preserve">The total Product Carbon Footprint for one functional unit of \'rnyjvmqtod\'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Direct emissions from owned or controlled sources (e.g.,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Indirect emissions from purchased electricity for production.</w:t>
            </w:r>
          </w:p>
        </w:tc>
        <w:tc>
          <w:tcPr/>
          <w:p>
            <w:pPr>
              <w:pStyle w:val="Compact"/>
              <w:jc w:val="left"/>
            </w:pPr>
            <w:r>
              <w:t xml:space="preserve">1.05</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Emissions from material acquisition and pre-processing.</w:t>
            </w:r>
          </w:p>
        </w:tc>
        <w:tc>
          <w:tcPr/>
          <w:p>
            <w:pPr>
              <w:pStyle w:val="Compact"/>
              <w:jc w:val="left"/>
            </w:pPr>
            <w:r>
              <w:t xml:space="preserve">4.55</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Emissions from transport of materials to factory.</w:t>
            </w:r>
          </w:p>
        </w:tc>
        <w:tc>
          <w:tcPr/>
          <w:p>
            <w:pPr>
              <w:pStyle w:val="Compact"/>
              <w:jc w:val="left"/>
            </w:pPr>
            <w:r>
              <w:t xml:space="preserve">0.13</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Emissions from primary and last-mile distribution of sold product.</w:t>
            </w:r>
          </w:p>
        </w:tc>
        <w:tc>
          <w:tcPr/>
          <w:p>
            <w:pPr>
              <w:pStyle w:val="Compact"/>
              <w:jc w:val="left"/>
            </w:pPr>
            <w:r>
              <w:t xml:space="preserve">12.63</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Emissions from energy consumption during product use.</w:t>
            </w:r>
          </w:p>
        </w:tc>
        <w:tc>
          <w:tcPr/>
          <w:p>
            <w:pPr>
              <w:pStyle w:val="Compact"/>
              <w:jc w:val="left"/>
            </w:pPr>
            <w:r>
              <w:t xml:space="preserve">15.00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Emissions from disposal of non-recycled product.</w:t>
            </w:r>
          </w:p>
        </w:tc>
        <w:tc>
          <w:tcPr/>
          <w:p>
            <w:pPr>
              <w:pStyle w:val="Compact"/>
              <w:jc w:val="left"/>
            </w:pPr>
            <w:r>
              <w:t xml:space="preserve">0.57</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33.93</w:t>
            </w:r>
          </w:p>
        </w:tc>
      </w:tr>
      <w:tr>
        <w:tc>
          <w:tcPr>
            <w:gridSpan w:val="3"/>
          </w:tcPr>
          <w:p>
            <w:pPr>
              <w:pStyle w:val="Compact"/>
              <w:jc w:val="left"/>
            </w:pPr>
            <w:r>
              <w:rPr>
                <w:bCs/>
                <w:b/>
              </w:rPr>
              <w:t xml:space="preserve">Total Scope 3 Emissions</w:t>
            </w:r>
          </w:p>
        </w:tc>
        <w:tc>
          <w:tcPr/>
          <w:p>
            <w:pPr>
              <w:pStyle w:val="Compact"/>
              <w:jc w:val="left"/>
            </w:pPr>
            <w:r>
              <w:rPr>
                <w:bCs/>
                <w:b/>
              </w:rPr>
              <w:t xml:space="preserve">32.88</w:t>
            </w:r>
          </w:p>
        </w:tc>
      </w:tr>
    </w:tbl>
    <w:bookmarkEnd w:id="38"/>
    <w:bookmarkStart w:id="39" w:name="X504f4a86e01fdcfa46a4589bb1b5e0cfaad8629"/>
    <w:p>
      <w:pPr>
        <w:pStyle w:val="Heading3"/>
      </w:pPr>
      <w:r>
        <w:t xml:space="preserve">4.5. 2026 Land Sector and Removals (LSR) Standard Update</w:t>
      </w:r>
    </w:p>
    <w:p>
      <w:pPr>
        <w:pStyle w:val="FirstParagraph"/>
      </w:pPr>
      <w:r>
        <w:t xml:space="preserve">This analysis acknowledges the upcoming 2026 Land Sector and Removals (LSR) Standard, effective January 1, 2027. The LSR Standard provides methods to quantify, report, and track land emissions, CO₂ removals, and other key metrics, including technological CO₂ removals. While no explicit land-use change data or direct carbon removal activities (e.g., direct air capture) were provided for \'rnyjvmqtod\', ewkdxljxtr\'s established circular/take-back programs for key components (ehetthlylg) represent a pathway for potential carbon removals through material循环 and reuse, which would be accounted for under the principles of the LSR Standard if granular data were available for quantification. We ensure that future updates to this PCF will integrate relevant LSR accounting when specific data on land-based emissions or verifiable removals become available.</w:t>
      </w:r>
    </w:p>
    <w:bookmarkEnd w:id="39"/>
    <w:bookmarkStart w:id="40" w:name="scope-3-compliance-95-coverage"/>
    <w:p>
      <w:pPr>
        <w:pStyle w:val="Heading3"/>
      </w:pPr>
      <w:r>
        <w:t xml:space="preserve">4.6. Scope 3 Compliance (95% Coverage)</w:t>
      </w:r>
    </w:p>
    <w:p>
      <w:pPr>
        <w:pStyle w:val="FirstParagraph"/>
      </w:pPr>
      <w:r>
        <w:t xml:space="preserve">The GHG Protocol emphasizes that Scope 3 emissions often represent the largest portion of a company\'s carbon footprint, typically 70-90%. By leveraging the detailed Bill of Materials, specific logistics data, and comprehensive use and end-of-life parameters, this analysis aims to achieve and exceed the 95% coverage requirement for Scope 3 reporting as per 2026 guidelines. The detailed breakdown across upstream and downstream categories demonstrates a robust approach to capturing the significant indirect emissions across the value chain.</w:t>
      </w:r>
    </w:p>
    <w:p>
      <w:r>
        <w:pict>
          <v:rect style="width:0;height:1.5pt" o:hralign="center" o:hrstd="t" o:hr="t"/>
        </w:pict>
      </w:r>
    </w:p>
    <w:bookmarkEnd w:id="40"/>
    <w:bookmarkEnd w:id="41"/>
    <w:bookmarkStart w:id="44" w:name="review-report-hotspots-and-reliability"/>
    <w:p>
      <w:pPr>
        <w:pStyle w:val="Heading2"/>
      </w:pPr>
      <w:r>
        <w:t xml:space="preserve">5. Review &amp; Report: Hotspots and Reliability</w:t>
      </w:r>
    </w:p>
    <w:bookmarkStart w:id="42" w:name="emission-hotspots"/>
    <w:p>
      <w:pPr>
        <w:pStyle w:val="Heading3"/>
      </w:pPr>
      <w:r>
        <w:t xml:space="preserve">5.1. Emission Hotspots</w:t>
      </w:r>
    </w:p>
    <w:p>
      <w:pPr>
        <w:pStyle w:val="FirstParagraph"/>
      </w:pPr>
      <w:r>
        <w:t xml:space="preserve">The analysis identifies the following key emission hotspots for \'rnyjvmqtod\':</w:t>
      </w:r>
    </w:p>
    <w:p>
      <w:pPr>
        <w:numPr>
          <w:ilvl w:val="0"/>
          <w:numId w:val="1015"/>
        </w:numPr>
        <w:pStyle w:val="Compact"/>
      </w:pPr>
      <w:r>
        <w:rPr>
          <w:bCs/>
          <w:b/>
        </w:rPr>
        <w:t xml:space="preserve">Use Phase (15.00 kg CO2e):</w:t>
      </w:r>
      <w:r>
        <w:t xml:space="preserve"> </w:t>
      </w:r>
      <w:r>
        <w:t xml:space="preserve">This is the largest contributor, primarily due to the energy consumption of the product over its 5-year lifespan.</w:t>
      </w:r>
    </w:p>
    <w:p>
      <w:pPr>
        <w:numPr>
          <w:ilvl w:val="0"/>
          <w:numId w:val="1015"/>
        </w:numPr>
        <w:pStyle w:val="Compact"/>
      </w:pPr>
      <w:r>
        <w:rPr>
          <w:bCs/>
          <w:b/>
        </w:rPr>
        <w:t xml:space="preserve">Downstream Transportation (12.63 kg CO2e):</w:t>
      </w:r>
      <w:r>
        <w:t xml:space="preserve"> </w:t>
      </w:r>
      <w:r>
        <w:t xml:space="preserve">Last-mile delivery (12.50 kg CO2e) represents a significant portion of this, indicating that the final leg of delivery to the customer is highly carbon-intensive on a per-unit basis.</w:t>
      </w:r>
    </w:p>
    <w:p>
      <w:pPr>
        <w:numPr>
          <w:ilvl w:val="0"/>
          <w:numId w:val="1015"/>
        </w:numPr>
        <w:pStyle w:val="Compact"/>
      </w:pPr>
      <w:r>
        <w:rPr>
          <w:bCs/>
          <w:b/>
        </w:rPr>
        <w:t xml:space="preserve">Materials Acquisition (4.55 kg CO2e):</w:t>
      </w:r>
      <w:r>
        <w:t xml:space="preserve"> </w:t>
      </w:r>
      <w:r>
        <w:t xml:space="preserve">The raw materials and their processing contribute substantially, particularly higher-impact components like the Circuit Board and Copper Wiring.</w:t>
      </w:r>
    </w:p>
    <w:bookmarkEnd w:id="42"/>
    <w:bookmarkStart w:id="43" w:name="data-reliability-and-recommendations"/>
    <w:p>
      <w:pPr>
        <w:pStyle w:val="Heading3"/>
      </w:pPr>
      <w:r>
        <w:t xml:space="preserve">5.2. Data Reliability and Recommendations</w:t>
      </w:r>
    </w:p>
    <w:p>
      <w:pPr>
        <w:pStyle w:val="FirstParagraph"/>
      </w:pPr>
      <w:r>
        <w:t xml:space="preserve">The reliability of this PCF is considered high, primarily due to the use of detailed primary data for the Bill of Materials and specific parameters for energy usage, transport, and EoL scenarios. Industry-standard emission factors (e.g., Ecoinvent, DEFRA proxies) have been used for processes where primary data was not available, ensuring a robust secondary data foundation.</w:t>
      </w:r>
    </w:p>
    <w:p>
      <w:pPr>
        <w:pStyle w:val="BodyText"/>
      </w:pPr>
      <w:r>
        <w:t xml:space="preserve">To further enhance data accuracy and reduce the PCF, ewkdxljxtr should consider:</w:t>
      </w:r>
    </w:p>
    <w:p>
      <w:pPr>
        <w:numPr>
          <w:ilvl w:val="0"/>
          <w:numId w:val="1016"/>
        </w:numPr>
        <w:pStyle w:val="Compact"/>
      </w:pPr>
      <w:r>
        <w:rPr>
          <w:bCs/>
          <w:b/>
        </w:rPr>
        <w:t xml:space="preserve">Primary Data Collection:</w:t>
      </w:r>
      <w:r>
        <w:t xml:space="preserve"> </w:t>
      </w:r>
      <w:r>
        <w:t xml:space="preserve">Seek direct emission data from key material suppliers (Scope 3, Category 1) and transport providers (Scope 3, Category 4 &amp; 9) where feasible, especially for high-impact components.</w:t>
      </w:r>
    </w:p>
    <w:p>
      <w:pPr>
        <w:numPr>
          <w:ilvl w:val="0"/>
          <w:numId w:val="1016"/>
        </w:numPr>
        <w:pStyle w:val="Compact"/>
      </w:pPr>
      <w:r>
        <w:rPr>
          <w:bCs/>
          <w:b/>
        </w:rPr>
        <w:t xml:space="preserve">Energy Efficiency in Use:</w:t>
      </w:r>
      <w:r>
        <w:t xml:space="preserve"> </w:t>
      </w:r>
      <w:r>
        <w:t xml:space="preserve">Explore opportunities to reduce the energy consumption of \'rnyjvmqtod\' during its use phase, or promote the use of renewable energy by end-users.</w:t>
      </w:r>
    </w:p>
    <w:p>
      <w:pPr>
        <w:numPr>
          <w:ilvl w:val="0"/>
          <w:numId w:val="1016"/>
        </w:numPr>
        <w:pStyle w:val="Compact"/>
      </w:pPr>
      <w:r>
        <w:rPr>
          <w:bCs/>
          <w:b/>
        </w:rPr>
        <w:t xml:space="preserve">Optimized Logistics:</w:t>
      </w:r>
      <w:r>
        <w:t xml:space="preserve"> </w:t>
      </w:r>
      <w:r>
        <w:t xml:space="preserve">Investigate more efficient last-mile delivery solutions, such as electric vehicles, route optimization, or localized distribution centers, to mitigate the significant impact of this stage.</w:t>
      </w:r>
    </w:p>
    <w:p>
      <w:pPr>
        <w:numPr>
          <w:ilvl w:val="0"/>
          <w:numId w:val="1016"/>
        </w:numPr>
        <w:pStyle w:val="Compact"/>
      </w:pPr>
      <w:r>
        <w:rPr>
          <w:bCs/>
          <w:b/>
        </w:rPr>
        <w:t xml:space="preserve">Circular Economy Expansion:</w:t>
      </w:r>
      <w:r>
        <w:t xml:space="preserve"> </w:t>
      </w:r>
      <w:r>
        <w:t xml:space="preserve">Continue to develop and expand circular/take-back programs, and quantify the avoided emissions or carbon removals from these initiatives in line with the evolving LSR Standard.</w:t>
      </w:r>
    </w:p>
    <w:p>
      <w:r>
        <w:pict>
          <v:rect style="width:0;height:1.5pt" o:hralign="center" o:hrstd="t" o:hr="t"/>
        </w:pict>
      </w:r>
    </w:p>
    <w:p>
      <w:pPr>
        <w:pStyle w:val="FirstParagraph"/>
      </w:pPr>
      <w:r>
        <w:t xml:space="preserve">Confidential - Internal Use Only | Page</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rnyjvmqtod</dc:title>
  <dc:creator/>
  <dc:description>A high-detail Product Carbon Footprint (PCF) analysis report for rnyjvmqtod, conducted by vyfuougxvg for ewkdxljxtr, adhering to GHG Protocol standards and including 2026 LSR updates.</dc:description>
  <dc:language>en</dc:language>
  <cp:keywords/>
  <dcterms:created xsi:type="dcterms:W3CDTF">2026-05-30T15:59:00Z</dcterms:created>
  <dcterms:modified xsi:type="dcterms:W3CDTF">2026-05-30T15:59:00Z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