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rnxofdzims</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rnxofdzims</w:t>
      </w:r>
    </w:p>
    <w:p>
      <w:pPr>
        <w:pStyle w:val="BodyText"/>
      </w:pPr>
      <w:r>
        <w:rPr>
          <w:bCs/>
          <w:b/>
        </w:rPr>
        <w:t xml:space="preserve">Company Name:</w:t>
      </w:r>
      <w:r>
        <w:t xml:space="preserve"> </w:t>
      </w:r>
      <w:r>
        <w:t xml:space="preserve">ljlsrkydds</w:t>
      </w:r>
    </w:p>
    <w:p>
      <w:pPr>
        <w:pStyle w:val="BodyText"/>
      </w:pPr>
      <w:r>
        <w:rPr>
          <w:bCs/>
          <w:b/>
        </w:rPr>
        <w:t xml:space="preserve">Senior Sustainability Consultant:</w:t>
      </w:r>
      <w:r>
        <w:t xml:space="preserve"> </w:t>
      </w:r>
      <w:r>
        <w:t xml:space="preserve">txvdxvzrjn</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Assumptions have been made for placeholder data as specified within the report.</w:t>
      </w:r>
    </w:p>
    <w:bookmarkEnd w:id="20"/>
    <w:bookmarkStart w:id="47"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rnxofdzims, manufactured by ljlsrkydds. As Senior Sustainability Consultant txvdxvzrjn, this analysis adheres to the Greenhouse Gas (GHG) Protocol, including the 2026 Land Sector and Removals (LSR) Standard update. The assessment covers the product\'s lifecycle from raw material extraction to end-of-life (cradle-to-gate with extended use phase and end-of-life considerations, for a functional unit of 1.0 unit). It identifies key emission hotspots, categorizes emissions into Scope 1, 2, and 3, and highlights opportunities for decarbonization across the supply chain, with a strong focus on Europe for supply chain and China for final production.</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rnxofdzims</w:t>
      </w:r>
      <w:r>
        <w:t xml:space="preserve">.</w:t>
      </w:r>
    </w:p>
    <w:bookmarkEnd w:id="22"/>
    <w:bookmarkStart w:id="23" w:name="system-boundary"/>
    <w:p>
      <w:pPr>
        <w:pStyle w:val="Heading3"/>
      </w:pPr>
      <w:r>
        <w:t xml:space="preserve">1.2 System Boundary</w:t>
      </w:r>
    </w:p>
    <w:p>
      <w:pPr>
        <w:pStyle w:val="FirstParagraph"/>
      </w:pPr>
      <w:r>
        <w:t xml:space="preserve">The system boundary for this analysis is defined as</w:t>
      </w:r>
      <w:r>
        <w:t xml:space="preserve"> </w:t>
      </w:r>
      <w:r>
        <w:rPr>
          <w:bCs/>
          <w:b/>
        </w:rPr>
        <w:t xml:space="preserve">factory_gate</w:t>
      </w:r>
      <w:r>
        <w:t xml:space="preserve">, extended to include the use phase and end-of-life (cradle-to-gate plus use phase and end-of-life). This encompasses:</w:t>
      </w:r>
    </w:p>
    <w:p>
      <w:pPr>
        <w:numPr>
          <w:ilvl w:val="0"/>
          <w:numId w:val="1001"/>
        </w:numPr>
        <w:pStyle w:val="Compact"/>
      </w:pPr>
      <w:r>
        <w:t xml:space="preserve">Raw material acquisition and pre-processing.</w:t>
      </w:r>
    </w:p>
    <w:p>
      <w:pPr>
        <w:numPr>
          <w:ilvl w:val="0"/>
          <w:numId w:val="1001"/>
        </w:numPr>
        <w:pStyle w:val="Compact"/>
      </w:pPr>
      <w:r>
        <w:t xml:space="preserve">Manufacturing of component parts.</w:t>
      </w:r>
    </w:p>
    <w:p>
      <w:pPr>
        <w:numPr>
          <w:ilvl w:val="0"/>
          <w:numId w:val="1001"/>
        </w:numPr>
        <w:pStyle w:val="Compact"/>
      </w:pPr>
      <w:r>
        <w:t xml:space="preserve">Transportation of materials and components to the final production facility.</w:t>
      </w:r>
    </w:p>
    <w:p>
      <w:pPr>
        <w:numPr>
          <w:ilvl w:val="0"/>
          <w:numId w:val="1001"/>
        </w:numPr>
        <w:pStyle w:val="Compact"/>
      </w:pPr>
      <w:r>
        <w:t xml:space="preserve">Final assembly and packaging at the production facility in China.</w:t>
      </w:r>
    </w:p>
    <w:p>
      <w:pPr>
        <w:numPr>
          <w:ilvl w:val="0"/>
          <w:numId w:val="1001"/>
        </w:numPr>
        <w:pStyle w:val="Compact"/>
      </w:pPr>
      <w:r>
        <w:t xml:space="preserve">Transportation from the factory gate to the customer.</w:t>
      </w:r>
    </w:p>
    <w:p>
      <w:pPr>
        <w:numPr>
          <w:ilvl w:val="0"/>
          <w:numId w:val="1001"/>
        </w:numPr>
        <w:pStyle w:val="Compact"/>
      </w:pPr>
      <w:r>
        <w:t xml:space="preserve">Use phase of the product.</w:t>
      </w:r>
    </w:p>
    <w:p>
      <w:pPr>
        <w:numPr>
          <w:ilvl w:val="0"/>
          <w:numId w:val="1001"/>
        </w:numPr>
        <w:pStyle w:val="Compact"/>
      </w:pPr>
      <w:r>
        <w:t xml:space="preserve">End-of-Life treatment (recycling, disposal).</w:t>
      </w:r>
    </w:p>
    <w:bookmarkEnd w:id="23"/>
    <w:bookmarkStart w:id="24" w:name="geographic-scope"/>
    <w:p>
      <w:pPr>
        <w:pStyle w:val="Heading3"/>
      </w:pPr>
      <w:r>
        <w:t xml:space="preserve">1.3 Geographic Scope</w:t>
      </w:r>
    </w:p>
    <w:p>
      <w:pPr>
        <w:pStyle w:val="FirstParagraph"/>
      </w:pPr>
      <w:r>
        <w:t xml:space="preserve">The geographic scope covers the entire value chain:</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(implying material sourcing and intermediate processing primarily from Europe before final assembly in China).</w:t>
      </w:r>
    </w:p>
    <w:bookmarkEnd w:id="24"/>
    <w:bookmarkStart w:id="25" w:name="accounting-standard"/>
    <w:p>
      <w:pPr>
        <w:pStyle w:val="Heading3"/>
      </w:pPr>
      <w:r>
        <w:t xml:space="preserve">1.4 Accounting Standard</w:t>
      </w:r>
    </w:p>
    <w:p>
      <w:pPr>
        <w:pStyle w:val="FirstParagraph"/>
      </w:pPr>
      <w:r>
        <w:t xml:space="preserve">This analysis strictly adheres to the</w:t>
      </w:r>
      <w:r>
        <w:t xml:space="preserve"> </w:t>
      </w:r>
      <w:r>
        <w:rPr>
          <w:bCs/>
          <w:b/>
        </w:rPr>
        <w:t xml:space="preserve">GHG Protocol Product Life Cycle Accounting and Reporting Standard</w:t>
      </w:r>
      <w:r>
        <w:t xml:space="preserve">. This includes categorization of emissions into Scope 1 (direct emissions from owned or controlled sources), Scope 2 (indirect emissions from purchased electricity, heat, or steam), and Scope 3 (all other indirect emissions in the value chain, both upstream and downstream).</w:t>
      </w:r>
    </w:p>
    <w:bookmarkEnd w:id="25"/>
    <w:bookmarkStart w:id="26" w:name="allocation"/>
    <w:p>
      <w:pPr>
        <w:pStyle w:val="Heading3"/>
      </w:pPr>
      <w:r>
        <w:t xml:space="preserve">1.5 Allocation</w:t>
      </w:r>
    </w:p>
    <w:p>
      <w:pPr>
        <w:pStyle w:val="FirstParagraph"/>
      </w:pPr>
      <w:r>
        <w:t xml:space="preserve">Emissions are allocated to the functional unit based on a mass-based approach where appropriate, and direct attribution for energy consumption and transport. For multi-product processes, economic allocation or physical allocation (e.g., based on mass or energy content) will be considered to attribute environmental burdens to rnxofdzims. The "cut-off" approach is applied for recycled content, where the burden of virgin material production is assigned to the first product cycle, and only the reprocessing burden is assigned to subsequent cycles using recycled content.</w:t>
      </w:r>
    </w:p>
    <w:p>
      <w:r>
        <w:pict>
          <v:rect style="width:0;height:1.5pt" o:hralign="center" o:hrstd="t" o:hr="t"/>
        </w:pict>
      </w:r>
    </w:p>
    <w:bookmarkEnd w:id="26"/>
    <w:bookmarkEnd w:id="27"/>
    <w:bookmarkStart w:id="33" w:name="X668a29dea6996859d52024a913312988ccfa3c9"/>
    <w:p>
      <w:pPr>
        <w:pStyle w:val="Heading2"/>
      </w:pPr>
      <w:r>
        <w:t xml:space="preserve">2. Map Lifecycle (LCI inventory stages) &amp; 3. Collect Data</w:t>
      </w:r>
    </w:p>
    <w:p>
      <w:pPr>
        <w:pStyle w:val="FirstParagraph"/>
      </w:pPr>
      <w:r>
        <w:t xml:space="preserve">The lifecycle of rnxofdzims is broken down into five main stages: Materials Acquisition &amp; Pre-processing, Production, Transport (inbound &amp; outbound), Use Phase, and End-of-Life. Data collection involves both primary data (where specified, e.g., energy usage, material quantities) and secondary data (industry-average emission factors).</w:t>
      </w:r>
    </w:p>
    <w:bookmarkStart w:id="28" w:name="Xf806f1895ec2dbcc5be611bb6e3231d875137b6"/>
    <w:p>
      <w:pPr>
        <w:pStyle w:val="Heading3"/>
      </w:pPr>
      <w:r>
        <w:t xml:space="preserve">3.1 Detailed Bill of Materials (BOM) for rnxofdzims</w:t>
      </w:r>
    </w:p>
    <w:p>
      <w:pPr>
        <w:pStyle w:val="FirstParagraph"/>
      </w:pPr>
      <w:r>
        <w:t xml:space="preserve">The following Bill of Materials (BOM) represents the detailed material inputs for rnxofdzims, derived from the provided `lrxinmts` data. These specific values are used for high-accuracy material impact calculation. Emission Factors (EF) are illustrative and representative of Ecoinvent/DEFRA industry standards for average European production, where applicable.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(Sheet)</w:t>
            </w:r>
          </w:p>
        </w:tc>
        <w:tc>
          <w:tcPr/>
          <w:p>
            <w:pPr>
              <w:pStyle w:val="Compact"/>
              <w:jc w:val="left"/>
            </w:pPr>
            <w:r>
              <w:t xml:space="preserve">Metal</w:t>
            </w:r>
          </w:p>
        </w:tc>
        <w:tc>
          <w:tcPr/>
          <w:p>
            <w:pPr>
              <w:pStyle w:val="Compact"/>
              <w:jc w:val="left"/>
            </w:pPr>
            <w:r>
              <w:t xml:space="preserve">Primary Production, Europe</w:t>
            </w:r>
          </w:p>
        </w:tc>
        <w:tc>
          <w:tcPr/>
          <w:p>
            <w:pPr>
              <w:pStyle w:val="Compact"/>
              <w:jc w:val="left"/>
            </w:pPr>
            <w:r>
              <w:t xml:space="preserve">1.5</w:t>
            </w:r>
          </w:p>
        </w:tc>
        <w:tc>
          <w:tcPr/>
          <w:p>
            <w:pPr>
              <w:pStyle w:val="Compact"/>
              <w:jc w:val="left"/>
            </w:pPr>
            <w:r>
              <w:t xml:space="preserve">kg</w:t>
            </w:r>
          </w:p>
        </w:tc>
        <w:tc>
          <w:tcPr/>
          <w:p>
            <w:pPr>
              <w:pStyle w:val="Compact"/>
              <w:jc w:val="left"/>
            </w:pPr>
            <w:r>
              <w:t xml:space="preserve">8.0</w:t>
            </w:r>
          </w:p>
        </w:tc>
        <w:tc>
          <w:tcPr/>
          <w:p>
            <w:pPr>
              <w:pStyle w:val="Compact"/>
              <w:jc w:val="left"/>
            </w:pPr>
            <w:r>
              <w:t xml:space="preserve">12.00</w:t>
            </w:r>
          </w:p>
        </w:tc>
      </w:tr>
      <w:tr>
        <w:tc>
          <w:tcPr/>
          <w:p>
            <w:pPr>
              <w:pStyle w:val="Compact"/>
              <w:jc w:val="left"/>
            </w:pPr>
            <w:r>
              <w:t xml:space="preserve">M002</w:t>
            </w:r>
          </w:p>
        </w:tc>
        <w:tc>
          <w:tcPr/>
          <w:p>
            <w:pPr>
              <w:pStyle w:val="Compact"/>
              <w:jc w:val="left"/>
            </w:pPr>
            <w:r>
              <w:t xml:space="preserve">ABS Plastic Granules</w:t>
            </w:r>
          </w:p>
        </w:tc>
        <w:tc>
          <w:tcPr/>
          <w:p>
            <w:pPr>
              <w:pStyle w:val="Compact"/>
              <w:jc w:val="left"/>
            </w:pPr>
            <w:r>
              <w:t xml:space="preserve">Plastic</w:t>
            </w:r>
          </w:p>
        </w:tc>
        <w:tc>
          <w:tcPr/>
          <w:p>
            <w:pPr>
              <w:pStyle w:val="Compact"/>
              <w:jc w:val="left"/>
            </w:pPr>
            <w:r>
              <w:t xml:space="preserve">Injection Molding Grade, Europe</w:t>
            </w:r>
          </w:p>
        </w:tc>
        <w:tc>
          <w:tcPr/>
          <w:p>
            <w:pPr>
              <w:pStyle w:val="Compact"/>
              <w:jc w:val="left"/>
            </w:pPr>
            <w:r>
              <w:t xml:space="preserve">0.8</w:t>
            </w:r>
          </w:p>
        </w:tc>
        <w:tc>
          <w:tcPr/>
          <w:p>
            <w:pPr>
              <w:pStyle w:val="Compact"/>
              <w:jc w:val="left"/>
            </w:pPr>
            <w:r>
              <w:t xml:space="preserve">kg</w:t>
            </w:r>
          </w:p>
        </w:tc>
        <w:tc>
          <w:tcPr/>
          <w:p>
            <w:pPr>
              <w:pStyle w:val="Compact"/>
              <w:jc w:val="left"/>
            </w:pPr>
            <w:r>
              <w:t xml:space="preserve">4.5</w:t>
            </w:r>
          </w:p>
        </w:tc>
        <w:tc>
          <w:tcPr/>
          <w:p>
            <w:pPr>
              <w:pStyle w:val="Compact"/>
              <w:jc w:val="left"/>
            </w:pPr>
            <w:r>
              <w:t xml:space="preserve">3.60</w:t>
            </w:r>
          </w:p>
        </w:tc>
      </w:tr>
      <w:tr>
        <w:tc>
          <w:tcPr/>
          <w:p>
            <w:pPr>
              <w:pStyle w:val="Compact"/>
              <w:jc w:val="left"/>
            </w:pPr>
            <w:r>
              <w:t xml:space="preserve">M003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Refined, Europe</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M004</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Fabrication, Asia</w:t>
            </w:r>
          </w:p>
        </w:tc>
        <w:tc>
          <w:tcPr/>
          <w:p>
            <w:pPr>
              <w:pStyle w:val="Compact"/>
              <w:jc w:val="left"/>
            </w:pPr>
            <w:r>
              <w:t xml:space="preserve">0.1</w:t>
            </w:r>
          </w:p>
        </w:tc>
        <w:tc>
          <w:tcPr/>
          <w:p>
            <w:pPr>
              <w:pStyle w:val="Compact"/>
              <w:jc w:val="left"/>
            </w:pPr>
            <w:r>
              <w:t xml:space="preserve">kg</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 Asia</w:t>
            </w:r>
          </w:p>
        </w:tc>
        <w:tc>
          <w:tcPr/>
          <w:p>
            <w:pPr>
              <w:pStyle w:val="Compact"/>
              <w:jc w:val="left"/>
            </w:pPr>
            <w:r>
              <w:t xml:space="preserve">0.3</w:t>
            </w:r>
          </w:p>
        </w:tc>
        <w:tc>
          <w:tcPr/>
          <w:p>
            <w:pPr>
              <w:pStyle w:val="Compact"/>
              <w:jc w:val="left"/>
            </w:pPr>
            <w:r>
              <w:t xml:space="preserve">kg</w:t>
            </w:r>
          </w:p>
        </w:tc>
        <w:tc>
          <w:tcPr/>
          <w:p>
            <w:pPr>
              <w:pStyle w:val="Compact"/>
              <w:jc w:val="left"/>
            </w:pPr>
            <w:r>
              <w:t xml:space="preserve">15.0</w:t>
            </w:r>
          </w:p>
        </w:tc>
        <w:tc>
          <w:tcPr/>
          <w:p>
            <w:pPr>
              <w:pStyle w:val="Compact"/>
              <w:jc w:val="left"/>
            </w:pPr>
            <w:r>
              <w:t xml:space="preserve">4.50</w:t>
            </w:r>
          </w:p>
        </w:tc>
      </w:tr>
      <w:tr>
        <w:tc>
          <w:tcPr/>
          <w:p>
            <w:pPr>
              <w:pStyle w:val="Compact"/>
              <w:jc w:val="left"/>
            </w:pPr>
            <w:r>
              <w:t xml:space="preserve">M006</w:t>
            </w:r>
          </w:p>
        </w:tc>
        <w:tc>
          <w:tcPr/>
          <w:p>
            <w:pPr>
              <w:pStyle w:val="Compact"/>
              <w:jc w:val="left"/>
            </w:pPr>
            <w:r>
              <w:t xml:space="preserve">Steel Fasteners</w:t>
            </w:r>
          </w:p>
        </w:tc>
        <w:tc>
          <w:tcPr/>
          <w:p>
            <w:pPr>
              <w:pStyle w:val="Compact"/>
              <w:jc w:val="left"/>
            </w:pPr>
            <w:r>
              <w:t xml:space="preserve">Metal</w:t>
            </w:r>
          </w:p>
        </w:tc>
        <w:tc>
          <w:tcPr/>
          <w:p>
            <w:pPr>
              <w:pStyle w:val="Compact"/>
              <w:jc w:val="left"/>
            </w:pPr>
            <w:r>
              <w:t xml:space="preserve">Primary Production, Europe</w:t>
            </w:r>
          </w:p>
        </w:tc>
        <w:tc>
          <w:tcPr/>
          <w:p>
            <w:pPr>
              <w:pStyle w:val="Compact"/>
              <w:jc w:val="left"/>
            </w:pPr>
            <w:r>
              <w:t xml:space="preserve">0.1</w:t>
            </w:r>
          </w:p>
        </w:tc>
        <w:tc>
          <w:tcPr/>
          <w:p>
            <w:pPr>
              <w:pStyle w:val="Compact"/>
              <w:jc w:val="left"/>
            </w:pPr>
            <w:r>
              <w:t xml:space="preserve">kg</w:t>
            </w:r>
          </w:p>
        </w:tc>
        <w:tc>
          <w:tcPr/>
          <w:p>
            <w:pPr>
              <w:pStyle w:val="Compact"/>
              <w:jc w:val="left"/>
            </w:pPr>
            <w:r>
              <w:t xml:space="preserve">2.5</w:t>
            </w:r>
          </w:p>
        </w:tc>
        <w:tc>
          <w:tcPr/>
          <w:p>
            <w:pPr>
              <w:pStyle w:val="Compact"/>
              <w:jc w:val="left"/>
            </w:pPr>
            <w:r>
              <w:t xml:space="preserve">0.25</w:t>
            </w:r>
          </w:p>
        </w:tc>
      </w:tr>
      <w:tr>
        <w:tc>
          <w:tcPr/>
          <w:p>
            <w:pPr>
              <w:pStyle w:val="Compact"/>
              <w:jc w:val="left"/>
            </w:pPr>
            <w:r>
              <w:t xml:space="preserve">M007</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Recycled Content, Europe</w:t>
            </w:r>
          </w:p>
        </w:tc>
        <w:tc>
          <w:tcPr/>
          <w:p>
            <w:pPr>
              <w:pStyle w:val="Compact"/>
              <w:jc w:val="left"/>
            </w:pPr>
            <w:r>
              <w:t xml:space="preserve">0.5</w:t>
            </w:r>
          </w:p>
        </w:tc>
        <w:tc>
          <w:tcPr/>
          <w:p>
            <w:pPr>
              <w:pStyle w:val="Compact"/>
              <w:jc w:val="left"/>
            </w:pPr>
            <w:r>
              <w:t xml:space="preserve">kg</w:t>
            </w:r>
          </w:p>
        </w:tc>
        <w:tc>
          <w:tcPr/>
          <w:p>
            <w:pPr>
              <w:pStyle w:val="Compact"/>
              <w:jc w:val="left"/>
            </w:pPr>
            <w:r>
              <w:t xml:space="preserve">0.8</w:t>
            </w:r>
          </w:p>
        </w:tc>
        <w:tc>
          <w:tcPr/>
          <w:p>
            <w:pPr>
              <w:pStyle w:val="Compact"/>
              <w:jc w:val="left"/>
            </w:pPr>
            <w:r>
              <w:t xml:space="preserve">0.40</w:t>
            </w:r>
          </w:p>
        </w:tc>
      </w:tr>
    </w:tbl>
    <w:p>
      <w:pPr>
        <w:pStyle w:val="BodyText"/>
      </w:pPr>
      <w:r>
        <w:rPr>
          <w:bCs/>
          <w:b/>
        </w:rPr>
        <w:t xml:space="preserve">Subtotal Emissions from Materials: 23.35 kg CO2e</w:t>
      </w:r>
    </w:p>
    <w:bookmarkEnd w:id="28"/>
    <w:bookmarkStart w:id="29" w:name="production-energy-inputs"/>
    <w:p>
      <w:pPr>
        <w:pStyle w:val="Heading3"/>
      </w:pPr>
      <w:r>
        <w:t xml:space="preserve">3.2 Production Energy Inputs</w:t>
      </w:r>
    </w:p>
    <w:p>
      <w:pPr>
        <w:numPr>
          <w:ilvl w:val="0"/>
          <w:numId w:val="1003"/>
        </w:numPr>
        <w:pStyle w:val="Compact"/>
      </w:pPr>
      <w:r>
        <w:rPr>
          <w:bCs/>
          <w:b/>
        </w:rPr>
        <w:t xml:space="preserve">Energy Intensity (kWh/unit):</w:t>
      </w:r>
      <w:r>
        <w:t xml:space="preserve"> </w:t>
      </w:r>
      <w:r>
        <w:t xml:space="preserve">qlrqzxoeui (Assumed: 20 kWh/unit)</w:t>
      </w:r>
    </w:p>
    <w:p>
      <w:pPr>
        <w:numPr>
          <w:ilvl w:val="0"/>
          <w:numId w:val="1003"/>
        </w:numPr>
        <w:pStyle w:val="Compact"/>
      </w:pPr>
      <w:r>
        <w:rPr>
          <w:bCs/>
          <w:b/>
        </w:rPr>
        <w:t xml:space="preserve">Renewable Energy Usage:</w:t>
      </w:r>
      <w:r>
        <w:t xml:space="preserve"> </w:t>
      </w:r>
      <w:r>
        <w:t xml:space="preserve">myndgmrpuw (Assumed: 50% renewable, 50% grid electricity)</w:t>
      </w:r>
    </w:p>
    <w:p>
      <w:pPr>
        <w:numPr>
          <w:ilvl w:val="0"/>
          <w:numId w:val="1003"/>
        </w:numPr>
        <w:pStyle w:val="Compact"/>
      </w:pPr>
      <w:r>
        <w:rPr>
          <w:bCs/>
          <w:b/>
        </w:rPr>
        <w:t xml:space="preserve">Final Production Country:</w:t>
      </w:r>
      <w:r>
        <w:t xml:space="preserve"> </w:t>
      </w:r>
      <w:r>
        <w:t xml:space="preserve">China</w:t>
      </w:r>
    </w:p>
    <w:p>
      <w:pPr>
        <w:pStyle w:val="FirstParagraph"/>
      </w:pPr>
      <w:r>
        <w:t xml:space="preserve">For the non-renewable portion of electricity in China, a grid emission factor of 0.6205 kg CO2e/kWh (National Average Electricity Carbon Footprint Factor 2023) is used.</w:t>
      </w:r>
    </w:p>
    <w:bookmarkEnd w:id="29"/>
    <w:bookmarkStart w:id="30" w:name="logistics-data"/>
    <w:p>
      <w:pPr>
        <w:pStyle w:val="Heading3"/>
      </w:pPr>
      <w:r>
        <w:t xml:space="preserve">3.3 Logistics Data</w:t>
      </w:r>
    </w:p>
    <w:p>
      <w:pPr>
        <w:numPr>
          <w:ilvl w:val="0"/>
          <w:numId w:val="1004"/>
        </w:numPr>
        <w:pStyle w:val="Compact"/>
      </w:pPr>
      <w:r>
        <w:rPr>
          <w:bCs/>
          <w:b/>
        </w:rPr>
        <w:t xml:space="preserve">Primary Transport Mode (to China factory):</w:t>
      </w:r>
      <w:r>
        <w:t xml:space="preserve"> </w:t>
      </w:r>
      <w:r>
        <w:t xml:space="preserve">Select Mode (Assumed: Ocean Freight)</w:t>
      </w:r>
    </w:p>
    <w:p>
      <w:pPr>
        <w:numPr>
          <w:ilvl w:val="0"/>
          <w:numId w:val="1004"/>
        </w:numPr>
        <w:pStyle w:val="Compact"/>
      </w:pPr>
      <w:r>
        <w:rPr>
          <w:bCs/>
          <w:b/>
        </w:rPr>
        <w:t xml:space="preserve">Primary Transport Distance (to China factory):</w:t>
      </w:r>
      <w:r>
        <w:t xml:space="preserve"> </w:t>
      </w:r>
      <w:r>
        <w:t xml:space="preserve">yhzjnmrgow (Assumed: 10,000 km)</w:t>
      </w:r>
    </w:p>
    <w:p>
      <w:pPr>
        <w:numPr>
          <w:ilvl w:val="0"/>
          <w:numId w:val="1004"/>
        </w:numPr>
        <w:pStyle w:val="Compact"/>
      </w:pPr>
      <w:r>
        <w:rPr>
          <w:bCs/>
          <w:b/>
        </w:rPr>
        <w:t xml:space="preserve">Outbound Transport Mode (from China factory to Europe distribution hub):</w:t>
      </w:r>
      <w:r>
        <w:t xml:space="preserve"> </w:t>
      </w:r>
      <w:r>
        <w:t xml:space="preserve">Select Mode (Assumed: Ocean Freight)</w:t>
      </w:r>
    </w:p>
    <w:p>
      <w:pPr>
        <w:numPr>
          <w:ilvl w:val="0"/>
          <w:numId w:val="1004"/>
        </w:numPr>
        <w:pStyle w:val="Compact"/>
      </w:pPr>
      <w:r>
        <w:rPr>
          <w:bCs/>
          <w:b/>
        </w:rPr>
        <w:t xml:space="preserve">Outbound Transport Distance (from China factory to Europe distribution hub):</w:t>
      </w:r>
      <w:r>
        <w:t xml:space="preserve"> </w:t>
      </w:r>
      <w:r>
        <w:t xml:space="preserve">yhzjnmrgow (Assumed: 12,000 km)</w:t>
      </w:r>
    </w:p>
    <w:p>
      <w:pPr>
        <w:numPr>
          <w:ilvl w:val="0"/>
          <w:numId w:val="1004"/>
        </w:numPr>
        <w:pStyle w:val="Compact"/>
      </w:pPr>
      <w:r>
        <w:rPr>
          <w:bCs/>
          <w:b/>
        </w:rPr>
        <w:t xml:space="preserve">Last-Mile Delivery Channel (to final customer in Europe):</w:t>
      </w:r>
      <w:r>
        <w:t xml:space="preserve"> </w:t>
      </w:r>
      <w:r>
        <w:t xml:space="preserve">Delivery Type (Assumed: Road Freight (Van))</w:t>
      </w:r>
    </w:p>
    <w:p>
      <w:pPr>
        <w:numPr>
          <w:ilvl w:val="0"/>
          <w:numId w:val="1004"/>
        </w:numPr>
        <w:pStyle w:val="Compact"/>
      </w:pPr>
      <w:r>
        <w:rPr>
          <w:bCs/>
          <w:b/>
        </w:rPr>
        <w:t xml:space="preserve">Last-Mile Delivery Distance (Assumed):</w:t>
      </w:r>
      <w:r>
        <w:t xml:space="preserve"> </w:t>
      </w:r>
      <w:r>
        <w:t xml:space="preserve">500 km</w:t>
      </w:r>
    </w:p>
    <w:p>
      <w:pPr>
        <w:pStyle w:val="FirstParagraph"/>
      </w:pPr>
      <w:r>
        <w:t xml:space="preserve">Emission factors for transport are based on DEFRA 2025/industry averages.</w:t>
      </w:r>
    </w:p>
    <w:bookmarkEnd w:id="30"/>
    <w:bookmarkStart w:id="31" w:name="use-phase-data"/>
    <w:p>
      <w:pPr>
        <w:pStyle w:val="Heading3"/>
      </w:pPr>
      <w:r>
        <w:t xml:space="preserve">3.4 Use Phase Data</w:t>
      </w:r>
    </w:p>
    <w:p>
      <w:pPr>
        <w:numPr>
          <w:ilvl w:val="0"/>
          <w:numId w:val="1005"/>
        </w:numPr>
        <w:pStyle w:val="Compact"/>
      </w:pPr>
      <w:r>
        <w:rPr>
          <w:bCs/>
          <w:b/>
        </w:rPr>
        <w:t xml:space="preserve">Product Lifespan:</w:t>
      </w:r>
      <w:r>
        <w:t xml:space="preserve"> </w:t>
      </w:r>
      <w:r>
        <w:t xml:space="preserve">pisyhfjvvp (Assumed: 5 years)</w:t>
      </w:r>
    </w:p>
    <w:p>
      <w:pPr>
        <w:numPr>
          <w:ilvl w:val="0"/>
          <w:numId w:val="1005"/>
        </w:numPr>
        <w:pStyle w:val="Compact"/>
      </w:pPr>
      <w:r>
        <w:rPr>
          <w:bCs/>
          <w:b/>
        </w:rPr>
        <w:t xml:space="preserve">Energy Consumption in Use:</w:t>
      </w:r>
      <w:r>
        <w:t xml:space="preserve"> </w:t>
      </w:r>
      <w:r>
        <w:t xml:space="preserve">ttklxomjdg (Assumed: 10 kWh/year)</w:t>
      </w:r>
    </w:p>
    <w:p>
      <w:pPr>
        <w:numPr>
          <w:ilvl w:val="0"/>
          <w:numId w:val="1005"/>
        </w:numPr>
        <w:pStyle w:val="Compact"/>
      </w:pPr>
      <w:r>
        <w:rPr>
          <w:bCs/>
          <w:b/>
        </w:rPr>
        <w:t xml:space="preserve">Electricity Source for Use Phase:</w:t>
      </w:r>
      <w:r>
        <w:t xml:space="preserve"> </w:t>
      </w:r>
      <w:r>
        <w:t xml:space="preserve">European grid average (Assumed: 0.25 kg CO2e/kWh - illustrative, can vary significantly by country).</w:t>
      </w:r>
    </w:p>
    <w:bookmarkEnd w:id="31"/>
    <w:bookmarkStart w:id="32" w:name="end-of-life-eol-scenarios"/>
    <w:p>
      <w:pPr>
        <w:pStyle w:val="Heading3"/>
      </w:pPr>
      <w:r>
        <w:t xml:space="preserve">3.5 End-of-Life (EoL) Scenarios</w:t>
      </w:r>
    </w:p>
    <w:p>
      <w:pPr>
        <w:numPr>
          <w:ilvl w:val="0"/>
          <w:numId w:val="1006"/>
        </w:numPr>
        <w:pStyle w:val="Compact"/>
      </w:pPr>
      <w:r>
        <w:rPr>
          <w:bCs/>
          <w:b/>
        </w:rPr>
        <w:t xml:space="preserve">Recyclability Percentage:</w:t>
      </w:r>
      <w:r>
        <w:t xml:space="preserve"> </w:t>
      </w:r>
      <w:r>
        <w:t xml:space="preserve">psigikuxxw (Assumed: 70% of material mass is recycled)</w:t>
      </w:r>
    </w:p>
    <w:p>
      <w:pPr>
        <w:numPr>
          <w:ilvl w:val="0"/>
          <w:numId w:val="1006"/>
        </w:numPr>
        <w:pStyle w:val="Compact"/>
      </w:pPr>
      <w:r>
        <w:rPr>
          <w:bCs/>
          <w:b/>
        </w:rPr>
        <w:t xml:space="preserve">Circular/Take-back Programs:</w:t>
      </w:r>
      <w:r>
        <w:t xml:space="preserve"> </w:t>
      </w:r>
      <w:r>
        <w:t xml:space="preserve">ruzitizpjw (Assumed: A take-back program exists for major components, ensuring 70% recycling of eligible materials and responsible disposal for the remainder.)</w:t>
      </w:r>
    </w:p>
    <w:p>
      <w:pPr>
        <w:pStyle w:val="FirstParagraph"/>
      </w:pPr>
      <w:r>
        <w:t xml:space="preserve">For the non-recycled portion (30%), it is assumed to be incinerated with energy recovery or landfilled. Emission factors for EoL are based on industry averages (e.g., Ecoinvent data).</w:t>
      </w:r>
    </w:p>
    <w:p>
      <w:r>
        <w:pict>
          <v:rect style="width:0;height:1.5pt" o:hralign="center" o:hrstd="t" o:hr="t"/>
        </w:pict>
      </w:r>
    </w:p>
    <w:bookmarkEnd w:id="32"/>
    <w:bookmarkEnd w:id="33"/>
    <w:bookmarkStart w:id="43" w:name="Xb404f6bea4a0013006ec7a9103609d9ea6643c1"/>
    <w:p>
      <w:pPr>
        <w:pStyle w:val="Heading2"/>
      </w:pPr>
      <w:r>
        <w:t xml:space="preserve">4. Calculate Emissions (Activity * Emission Factor = CO2e)</w:t>
      </w:r>
    </w:p>
    <w:p>
      <w:pPr>
        <w:pStyle w:val="FirstParagraph"/>
      </w:pPr>
      <w:r>
        <w:t xml:space="preserve">Calculations are performed for each lifecycle stage, categorizing emissions according to GHG Protocol Scopes. Industry-standard emission factors from sources like Ecoinvent and DEFRA are utilized, and specific values from the BOM are incorporated directly.</w:t>
      </w:r>
    </w:p>
    <w:bookmarkStart w:id="34" w:name="Xb7107c17eb95573fa924428d1308c6bc2138861"/>
    <w:p>
      <w:pPr>
        <w:pStyle w:val="Heading3"/>
      </w:pPr>
      <w:r>
        <w:t xml:space="preserve">4.1 Scope 1, Scope 2, and Scope 3 Categorization</w:t>
      </w:r>
    </w:p>
    <w:p>
      <w:pPr>
        <w:numPr>
          <w:ilvl w:val="0"/>
          <w:numId w:val="1007"/>
        </w:numPr>
        <w:pStyle w:val="Compact"/>
      </w:pPr>
      <w:r>
        <w:rPr>
          <w:bCs/>
          <w:b/>
        </w:rPr>
        <w:t xml:space="preserve">Scope 1 (Direct Emissions):</w:t>
      </w:r>
      <w:r>
        <w:t xml:space="preserve"> </w:t>
      </w:r>
      <w:r>
        <w:t xml:space="preserve">Emissions from sources owned or controlled by ljlsrkydds. For this PCF, this would primarily include direct fuel combustion in manufacturing facilities (if any, not detailed in parameters) and fugitive emissions. Given the \'factory_gate\' boundary, most direct manufacturing emissions would fall here.</w:t>
      </w:r>
    </w:p>
    <w:p>
      <w:pPr>
        <w:numPr>
          <w:ilvl w:val="0"/>
          <w:numId w:val="1007"/>
        </w:numPr>
        <w:pStyle w:val="Compact"/>
      </w:pPr>
      <w:r>
        <w:rPr>
          <w:bCs/>
          <w:b/>
        </w:rPr>
        <w:t xml:space="preserve">Scope 2 (Energy Indirect Emissions):</w:t>
      </w:r>
      <w:r>
        <w:t xml:space="preserve"> </w:t>
      </w:r>
      <w:r>
        <w:t xml:space="preserve">Indirect emissions from the generation of purchased electricity, heat, or steam consumed by ljlsrkydds\' operations. This includes electricity used in the China production facility.</w:t>
      </w:r>
    </w:p>
    <w:p>
      <w:pPr>
        <w:numPr>
          <w:ilvl w:val="0"/>
          <w:numId w:val="1007"/>
        </w:numPr>
        <w:pStyle w:val="Compact"/>
      </w:pPr>
      <w:r>
        <w:rPr>
          <w:bCs/>
          <w:b/>
        </w:rPr>
        <w:t xml:space="preserve">Scope 3 (Other Indirect Emissions):</w:t>
      </w:r>
      <w:r>
        <w:t xml:space="preserve"> </w:t>
      </w:r>
      <w:r>
        <w:t xml:space="preserve">All other indirect emissions in the value chain. This is the most significant scope for a product PCF and includes:</w:t>
      </w:r>
    </w:p>
    <w:p>
      <w:pPr>
        <w:numPr>
          <w:ilvl w:val="1"/>
          <w:numId w:val="1008"/>
        </w:numPr>
        <w:pStyle w:val="Compact"/>
      </w:pPr>
      <w:r>
        <w:rPr>
          <w:bCs/>
          <w:b/>
        </w:rPr>
        <w:t xml:space="preserve">Upstream Scope 3:</w:t>
      </w:r>
      <w:r>
        <w:t xml:space="preserve"> </w:t>
      </w:r>
      <w:r>
        <w:t xml:space="preserve">Purchased goods and services (materials), capital goods, fuel- and energy-related activities (not included in Scope 1 or 2), upstream transportation and distribution, waste generated in operations.</w:t>
      </w:r>
    </w:p>
    <w:p>
      <w:pPr>
        <w:numPr>
          <w:ilvl w:val="1"/>
          <w:numId w:val="1008"/>
        </w:numPr>
        <w:pStyle w:val="Compact"/>
      </w:pPr>
      <w:r>
        <w:rPr>
          <w:bCs/>
          <w:b/>
        </w:rPr>
        <w:t xml:space="preserve">Downstream Scope 3:</w:t>
      </w:r>
      <w:r>
        <w:t xml:space="preserve"> </w:t>
      </w:r>
      <w:r>
        <w:t xml:space="preserve">Downstream transportation and distribution (to customers), use of sold products, end-of-life treatment of sold products.</w:t>
      </w:r>
    </w:p>
    <w:p>
      <w:pPr>
        <w:pStyle w:val="FirstParagraph"/>
      </w:pPr>
      <w:r>
        <w:rPr>
          <w:bCs/>
          <w:b/>
        </w:rPr>
        <w:t xml:space="preserve">Note on 2026 LSR Update:</w:t>
      </w:r>
      <w:r>
        <w:t xml:space="preserve"> </w:t>
      </w:r>
      <w:r>
        <w:t xml:space="preserve">The GHG Protocol\'s Land Sector and Removals (LSR) Standard was released on January 30, 2026, and is effective January 1, 2027. It provides accounting requirements for land sector activities and CO2 removals. This analysis acknowledges its requirements for land use and carbon removals, particularly for raw material acquisition, though specific data for land-based impacts related to rnxofdzims’s raw materials (e.g., agricultural products, forestry) are not provided. When such data becomes available, the LSR Standard\'s framework for tracing and reporting land emissions (including agricultural leakage and biogenic products) would be applied to ensure 2026 compliance.</w:t>
      </w:r>
    </w:p>
    <w:p>
      <w:pPr>
        <w:pStyle w:val="BodyText"/>
      </w:pPr>
      <w:r>
        <w:rPr>
          <w:bCs/>
          <w:b/>
        </w:rPr>
        <w:t xml:space="preserve">Scope 3 Compliance:</w:t>
      </w:r>
      <w:r>
        <w:t xml:space="preserve"> </w:t>
      </w:r>
      <w:r>
        <w:t xml:space="preserve">This report aims for at least 95% coverage for Scope 3 reporting, as per 2026 requirements, by including all material and energy inputs, comprehensive transport stages, use phase, and end-of-life scenarios.</w:t>
      </w:r>
    </w:p>
    <w:bookmarkEnd w:id="34"/>
    <w:bookmarkStart w:id="40" w:name="emissions-calculation-by-lifecycle-stage"/>
    <w:p>
      <w:pPr>
        <w:pStyle w:val="Heading3"/>
      </w:pPr>
      <w:r>
        <w:t xml:space="preserve">4.2 Emissions Calculation by Lifecycle Stage</w:t>
      </w:r>
    </w:p>
    <w:bookmarkStart w:id="35" w:name="Xa124a95b981c370289279a4b723120ad8e79cc2"/>
    <w:p>
      <w:pPr>
        <w:pStyle w:val="Heading4"/>
      </w:pPr>
      <w:r>
        <w:t xml:space="preserve">4.2.1 Materials Acquisition &amp; Pre-processing (Scope 3 - Upstream)</w:t>
      </w:r>
    </w:p>
    <w:p>
      <w:pPr>
        <w:pStyle w:val="FirstParagraph"/>
      </w:pPr>
      <w:r>
        <w:t xml:space="preserve">Calculations are based on the Detailed Bill of Materials (BOM) provided in Section 3.1. The "Total Carbon (kg CO2e)" column from the BOM table directly represents these emissions.</w:t>
      </w:r>
    </w:p>
    <w:p>
      <w:pPr>
        <w:pStyle w:val="BodyText"/>
      </w:pPr>
      <w:r>
        <w:rPr>
          <w:bCs/>
          <w:b/>
        </w:rPr>
        <w:t xml:space="preserve">Total Emissions from Materials: 23.35 kg CO2e</w:t>
      </w:r>
    </w:p>
    <w:bookmarkEnd w:id="35"/>
    <w:bookmarkStart w:id="36" w:name="production-phase-scope-1-2-3---upstream"/>
    <w:p>
      <w:pPr>
        <w:pStyle w:val="Heading4"/>
      </w:pPr>
      <w:r>
        <w:t xml:space="preserve">4.2.2 Production Phase (Scope 1, 2, 3 - Upstream)</w:t>
      </w:r>
    </w:p>
    <w:p>
      <w:pPr>
        <w:numPr>
          <w:ilvl w:val="0"/>
          <w:numId w:val="1009"/>
        </w:numPr>
        <w:pStyle w:val="Compact"/>
      </w:pPr>
      <w:r>
        <w:rPr>
          <w:bCs/>
          <w:b/>
        </w:rPr>
        <w:t xml:space="preserve">Electricity Consumption:</w:t>
      </w:r>
      <w:r>
        <w:t xml:space="preserve"> </w:t>
      </w:r>
      <w:r>
        <w:t xml:space="preserve">20 kWh/unit [qlrqzxoeui]</w:t>
      </w:r>
    </w:p>
    <w:p>
      <w:pPr>
        <w:numPr>
          <w:ilvl w:val="0"/>
          <w:numId w:val="1009"/>
        </w:numPr>
        <w:pStyle w:val="Compact"/>
      </w:pPr>
      <w:r>
        <w:rPr>
          <w:bCs/>
          <w:b/>
        </w:rPr>
        <w:t xml:space="preserve">Renewable Energy Usage:</w:t>
      </w:r>
      <w:r>
        <w:t xml:space="preserve"> </w:t>
      </w:r>
      <w:r>
        <w:t xml:space="preserve">50% [myndgmrpuw]</w:t>
      </w:r>
    </w:p>
    <w:p>
      <w:pPr>
        <w:numPr>
          <w:ilvl w:val="0"/>
          <w:numId w:val="1009"/>
        </w:numPr>
        <w:pStyle w:val="Compact"/>
      </w:pPr>
      <w:r>
        <w:rPr>
          <w:bCs/>
          <w:b/>
        </w:rPr>
        <w:t xml:space="preserve">Grid Electricity Usage:</w:t>
      </w:r>
      <w:r>
        <w:t xml:space="preserve"> </w:t>
      </w:r>
      <w:r>
        <w:t xml:space="preserve">50% of 20 kWh = 10 kWh/unit</w:t>
      </w:r>
    </w:p>
    <w:p>
      <w:pPr>
        <w:numPr>
          <w:ilvl w:val="0"/>
          <w:numId w:val="1009"/>
        </w:numPr>
        <w:pStyle w:val="Compact"/>
      </w:pPr>
      <w:r>
        <w:rPr>
          <w:bCs/>
          <w:b/>
        </w:rPr>
        <w:t xml:space="preserve">China Grid Emission Factor:</w:t>
      </w:r>
      <w:r>
        <w:t xml:space="preserve"> </w:t>
      </w:r>
      <w:r>
        <w:t xml:space="preserve">0.6205 kg CO2e/kWh</w:t>
      </w:r>
    </w:p>
    <w:p>
      <w:pPr>
        <w:pStyle w:val="FirstParagraph"/>
      </w:pPr>
      <w:r>
        <w:t xml:space="preserve">Emissions from Purchased Electricity (Scope 2): 10 kWh/unit * 0.6205 kg CO2e/kWh = 6.205 kg CO2e</w:t>
      </w:r>
    </w:p>
    <w:p>
      <w:pPr>
        <w:pStyle w:val="BodyText"/>
      </w:pPr>
      <w:r>
        <w:t xml:space="preserve">Assuming negligible Scope 1 emissions at factory_gate or included within the electricity EF, and other Scope 3 upstream production emissions (e.g., waste treatment at factory, capital goods) are minor or covered within material EFs for this boundary.</w:t>
      </w:r>
    </w:p>
    <w:p>
      <w:pPr>
        <w:pStyle w:val="BodyText"/>
      </w:pPr>
      <w:r>
        <w:rPr>
          <w:bCs/>
          <w:b/>
        </w:rPr>
        <w:t xml:space="preserve">Total Emissions from Production (Scope 2): 6.21 kg CO2e</w:t>
      </w:r>
    </w:p>
    <w:bookmarkEnd w:id="36"/>
    <w:bookmarkStart w:id="37" w:name="transport-scope-3---upstream-downstream"/>
    <w:p>
      <w:pPr>
        <w:pStyle w:val="Heading4"/>
      </w:pPr>
      <w:r>
        <w:t xml:space="preserve">4.2.3 Transport (Scope 3 - Upstream &amp; Downstream)</w:t>
      </w:r>
    </w:p>
    <w:p>
      <w:pPr>
        <w:pStyle w:val="FirstParagraph"/>
      </w:pPr>
      <w:r>
        <w:t xml:space="preserve">Illustrative Emission Factors (EFs) for transport:</w:t>
      </w:r>
    </w:p>
    <w:p>
      <w:pPr>
        <w:numPr>
          <w:ilvl w:val="0"/>
          <w:numId w:val="1010"/>
        </w:numPr>
        <w:pStyle w:val="Compact"/>
      </w:pPr>
      <w:r>
        <w:t xml:space="preserve">Ocean Freight (Bulk Cargo): 0.010 kg CO2e/tonne-km (illustrative, varies by vessel type)</w:t>
      </w:r>
    </w:p>
    <w:p>
      <w:pPr>
        <w:numPr>
          <w:ilvl w:val="0"/>
          <w:numId w:val="1010"/>
        </w:numPr>
        <w:pStyle w:val="Compact"/>
      </w:pPr>
      <w:r>
        <w:t xml:space="preserve">Road Freight (Heavy Goods Vehicle, Europe average): 0.080 kg CO2e/tonne-km (illustrative, DEFRA-like factor)</w:t>
      </w:r>
    </w:p>
    <w:p>
      <w:pPr>
        <w:numPr>
          <w:ilvl w:val="0"/>
          <w:numId w:val="1010"/>
        </w:numPr>
        <w:pStyle w:val="Compact"/>
      </w:pPr>
      <w:r>
        <w:t xml:space="preserve">Product weight (from BOM sum): 1.5 + 0.8 + 0.2 + 0.1 + 0.3 + 0.1 + 0.5 = 3.5 kg = 0.0035 tonnes</w:t>
      </w:r>
    </w:p>
    <w:p>
      <w:pPr>
        <w:pStyle w:val="FirstParagraph"/>
      </w:pPr>
      <w:r>
        <w:rPr>
          <w:bCs/>
          <w:b/>
        </w:rPr>
        <w:t xml:space="preserve">Upstream Transport (Materials to China factory):</w:t>
      </w:r>
    </w:p>
    <w:p>
      <w:pPr>
        <w:numPr>
          <w:ilvl w:val="0"/>
          <w:numId w:val="1011"/>
        </w:numPr>
        <w:pStyle w:val="Compact"/>
      </w:pPr>
      <w:r>
        <w:t xml:space="preserve">Mode: Ocean Freight [Select Mode]</w:t>
      </w:r>
    </w:p>
    <w:p>
      <w:pPr>
        <w:numPr>
          <w:ilvl w:val="0"/>
          <w:numId w:val="1011"/>
        </w:numPr>
        <w:pStyle w:val="Compact"/>
      </w:pPr>
      <w:r>
        <w:t xml:space="preserve">Distance: 10,000 km [yhzjnmrgow]</w:t>
      </w:r>
    </w:p>
    <w:p>
      <w:pPr>
        <w:numPr>
          <w:ilvl w:val="0"/>
          <w:numId w:val="1011"/>
        </w:numPr>
        <w:pStyle w:val="Compact"/>
      </w:pPr>
      <w:r>
        <w:t xml:space="preserve">Emissions: 0.0035 tonnes * 10,000 km * 0.010 kg CO2e/tonne-km = 0.35 kg CO2e</w:t>
      </w:r>
    </w:p>
    <w:p>
      <w:pPr>
        <w:pStyle w:val="FirstParagraph"/>
      </w:pPr>
      <w:r>
        <w:rPr>
          <w:bCs/>
          <w:b/>
        </w:rPr>
        <w:t xml:space="preserve">Downstream Transport (Product from China factory to Europe distribution hub):</w:t>
      </w:r>
    </w:p>
    <w:p>
      <w:pPr>
        <w:numPr>
          <w:ilvl w:val="0"/>
          <w:numId w:val="1012"/>
        </w:numPr>
        <w:pStyle w:val="Compact"/>
      </w:pPr>
      <w:r>
        <w:t xml:space="preserve">Mode: Ocean Freight [Select Mode]</w:t>
      </w:r>
    </w:p>
    <w:p>
      <w:pPr>
        <w:numPr>
          <w:ilvl w:val="0"/>
          <w:numId w:val="1012"/>
        </w:numPr>
        <w:pStyle w:val="Compact"/>
      </w:pPr>
      <w:r>
        <w:t xml:space="preserve">Distance: 12,000 km [yhzjnmrgow]</w:t>
      </w:r>
    </w:p>
    <w:p>
      <w:pPr>
        <w:numPr>
          <w:ilvl w:val="0"/>
          <w:numId w:val="1012"/>
        </w:numPr>
        <w:pStyle w:val="Compact"/>
      </w:pPr>
      <w:r>
        <w:t xml:space="preserve">Emissions: 0.0035 tonnes * 12,000 km * 0.010 kg CO2e/tonne-km = 0.42 kg CO2e</w:t>
      </w:r>
    </w:p>
    <w:p>
      <w:pPr>
        <w:pStyle w:val="FirstParagraph"/>
      </w:pPr>
      <w:r>
        <w:rPr>
          <w:bCs/>
          <w:b/>
        </w:rPr>
        <w:t xml:space="preserve">Last-Mile Delivery (to customer in Europe):</w:t>
      </w:r>
    </w:p>
    <w:p>
      <w:pPr>
        <w:numPr>
          <w:ilvl w:val="0"/>
          <w:numId w:val="1013"/>
        </w:numPr>
        <w:pStyle w:val="Compact"/>
      </w:pPr>
      <w:r>
        <w:t xml:space="preserve">Mode: Road Freight (Van) [Delivery Type]</w:t>
      </w:r>
    </w:p>
    <w:p>
      <w:pPr>
        <w:numPr>
          <w:ilvl w:val="0"/>
          <w:numId w:val="1013"/>
        </w:numPr>
        <w:pStyle w:val="Compact"/>
      </w:pPr>
      <w:r>
        <w:t xml:space="preserve">Distance: 500 km (Assumed)</w:t>
      </w:r>
    </w:p>
    <w:p>
      <w:pPr>
        <w:numPr>
          <w:ilvl w:val="0"/>
          <w:numId w:val="1013"/>
        </w:numPr>
        <w:pStyle w:val="Compact"/>
      </w:pPr>
      <w:r>
        <w:t xml:space="preserve">Emissions: 0.0035 tonnes * 500 km * 0.080 kg CO2e/tonne-km = 0.14 kg CO2e</w:t>
      </w:r>
    </w:p>
    <w:p>
      <w:pPr>
        <w:pStyle w:val="FirstParagraph"/>
      </w:pPr>
      <w:r>
        <w:rPr>
          <w:bCs/>
          <w:b/>
        </w:rPr>
        <w:t xml:space="preserve">Total Emissions from Transport (Scope 3): 0.35 + 0.42 + 0.14 = 0.91 kg CO2e</w:t>
      </w:r>
    </w:p>
    <w:bookmarkEnd w:id="37"/>
    <w:bookmarkStart w:id="38" w:name="use-phase-scope-3---downstream"/>
    <w:p>
      <w:pPr>
        <w:pStyle w:val="Heading4"/>
      </w:pPr>
      <w:r>
        <w:t xml:space="preserve">4.2.4 Use Phase (Scope 3 - Downstream)</w:t>
      </w:r>
    </w:p>
    <w:p>
      <w:pPr>
        <w:numPr>
          <w:ilvl w:val="0"/>
          <w:numId w:val="1014"/>
        </w:numPr>
        <w:pStyle w:val="Compact"/>
      </w:pPr>
      <w:r>
        <w:rPr>
          <w:bCs/>
          <w:b/>
        </w:rPr>
        <w:t xml:space="preserve">Product Lifespan:</w:t>
      </w:r>
      <w:r>
        <w:t xml:space="preserve"> </w:t>
      </w:r>
      <w:r>
        <w:t xml:space="preserve">5 years [pisyhfjvvp]</w:t>
      </w:r>
    </w:p>
    <w:p>
      <w:pPr>
        <w:numPr>
          <w:ilvl w:val="0"/>
          <w:numId w:val="1014"/>
        </w:numPr>
        <w:pStyle w:val="Compact"/>
      </w:pPr>
      <w:r>
        <w:rPr>
          <w:bCs/>
          <w:b/>
        </w:rPr>
        <w:t xml:space="preserve">Energy Consumption in Use:</w:t>
      </w:r>
      <w:r>
        <w:t xml:space="preserve"> </w:t>
      </w:r>
      <w:r>
        <w:t xml:space="preserve">10 kWh/year [ttklxomjdg]</w:t>
      </w:r>
    </w:p>
    <w:p>
      <w:pPr>
        <w:numPr>
          <w:ilvl w:val="0"/>
          <w:numId w:val="1014"/>
        </w:numPr>
        <w:pStyle w:val="Compact"/>
      </w:pPr>
      <w:r>
        <w:rPr>
          <w:bCs/>
          <w:b/>
        </w:rPr>
        <w:t xml:space="preserve">Total Use Phase Energy:</w:t>
      </w:r>
      <w:r>
        <w:t xml:space="preserve"> </w:t>
      </w:r>
      <w:r>
        <w:t xml:space="preserve">10 kWh/year * 5 years = 50 kWh/unit</w:t>
      </w:r>
    </w:p>
    <w:p>
      <w:pPr>
        <w:numPr>
          <w:ilvl w:val="0"/>
          <w:numId w:val="1014"/>
        </w:numPr>
        <w:pStyle w:val="Compact"/>
      </w:pPr>
      <w:r>
        <w:rPr>
          <w:bCs/>
          <w:b/>
        </w:rPr>
        <w:t xml:space="preserve">European Grid Emission Factor (illustrative):</w:t>
      </w:r>
      <w:r>
        <w:t xml:space="preserve"> </w:t>
      </w:r>
      <w:r>
        <w:t xml:space="preserve">0.25 kg CO2e/kWh</w:t>
      </w:r>
    </w:p>
    <w:p>
      <w:pPr>
        <w:pStyle w:val="FirstParagraph"/>
      </w:pPr>
      <w:r>
        <w:t xml:space="preserve">Emissions from Use Phase: 50 kWh/unit * 0.25 kg CO2e/kWh = 12.50 kg CO2e</w:t>
      </w:r>
    </w:p>
    <w:p>
      <w:pPr>
        <w:pStyle w:val="BodyText"/>
      </w:pPr>
      <w:r>
        <w:rPr>
          <w:bCs/>
          <w:b/>
        </w:rPr>
        <w:t xml:space="preserve">Total Emissions from Use Phase (Scope 3): 12.50 kg CO2e</w:t>
      </w:r>
    </w:p>
    <w:bookmarkEnd w:id="38"/>
    <w:bookmarkStart w:id="39" w:name="end-of-life-eol-scope-3---downstream"/>
    <w:p>
      <w:pPr>
        <w:pStyle w:val="Heading4"/>
      </w:pPr>
      <w:r>
        <w:t xml:space="preserve">4.2.5 End-of-Life (EoL) (Scope 3 - Downstream)</w:t>
      </w:r>
    </w:p>
    <w:p>
      <w:pPr>
        <w:numPr>
          <w:ilvl w:val="0"/>
          <w:numId w:val="1015"/>
        </w:numPr>
        <w:pStyle w:val="Compact"/>
      </w:pPr>
      <w:r>
        <w:rPr>
          <w:bCs/>
          <w:b/>
        </w:rPr>
        <w:t xml:space="preserve">Total Product Weight:</w:t>
      </w:r>
      <w:r>
        <w:t xml:space="preserve"> </w:t>
      </w:r>
      <w:r>
        <w:t xml:space="preserve">3.5 kg</w:t>
      </w:r>
    </w:p>
    <w:p>
      <w:pPr>
        <w:numPr>
          <w:ilvl w:val="0"/>
          <w:numId w:val="1015"/>
        </w:numPr>
        <w:pStyle w:val="Compact"/>
      </w:pPr>
      <w:r>
        <w:rPr>
          <w:bCs/>
          <w:b/>
        </w:rPr>
        <w:t xml:space="preserve">Recyclability Percentage:</w:t>
      </w:r>
      <w:r>
        <w:t xml:space="preserve"> </w:t>
      </w:r>
      <w:r>
        <w:t xml:space="preserve">70% [psigikuxxw]</w:t>
      </w:r>
    </w:p>
    <w:p>
      <w:pPr>
        <w:numPr>
          <w:ilvl w:val="0"/>
          <w:numId w:val="1015"/>
        </w:numPr>
        <w:pStyle w:val="Compact"/>
      </w:pPr>
      <w:r>
        <w:rPr>
          <w:bCs/>
          <w:b/>
        </w:rPr>
        <w:t xml:space="preserve">Weight Recycled:</w:t>
      </w:r>
      <w:r>
        <w:t xml:space="preserve"> </w:t>
      </w:r>
      <w:r>
        <w:t xml:space="preserve">3.5 kg * 0.70 = 2.45 kg</w:t>
      </w:r>
    </w:p>
    <w:p>
      <w:pPr>
        <w:numPr>
          <w:ilvl w:val="0"/>
          <w:numId w:val="1015"/>
        </w:numPr>
        <w:pStyle w:val="Compact"/>
      </w:pPr>
      <w:r>
        <w:rPr>
          <w:bCs/>
          <w:b/>
        </w:rPr>
        <w:t xml:space="preserve">Weight Disposed (Landfill/Incineration):</w:t>
      </w:r>
      <w:r>
        <w:t xml:space="preserve"> </w:t>
      </w:r>
      <w:r>
        <w:t xml:space="preserve">3.5 kg * 0.30 = 1.05 kg</w:t>
      </w:r>
    </w:p>
    <w:p>
      <w:pPr>
        <w:pStyle w:val="FirstParagraph"/>
      </w:pPr>
      <w:r>
        <w:t xml:space="preserve">Illustrative Emission Factors for EoL (net emissions, considering avoided emissions from recycling where applicable):</w:t>
      </w:r>
    </w:p>
    <w:p>
      <w:pPr>
        <w:numPr>
          <w:ilvl w:val="0"/>
          <w:numId w:val="1016"/>
        </w:numPr>
        <w:pStyle w:val="Compact"/>
      </w:pPr>
      <w:r>
        <w:t xml:space="preserve">Recycling Process (e.g., sorting, shredding, minor reprocessing): 0.5 kg CO2e/kg (net positive for energy input)</w:t>
      </w:r>
    </w:p>
    <w:p>
      <w:pPr>
        <w:numPr>
          <w:ilvl w:val="0"/>
          <w:numId w:val="1016"/>
        </w:numPr>
        <w:pStyle w:val="Compact"/>
      </w:pPr>
      <w:r>
        <w:t xml:space="preserve">Landfill/Incineration (net emissions, considering energy recovery if applicable): 1.5 kg CO2e/kg (for non-recyclable parts, e.g., electronics waste)</w:t>
      </w:r>
    </w:p>
    <w:p>
      <w:pPr>
        <w:pStyle w:val="FirstParagraph"/>
      </w:pPr>
      <w:r>
        <w:t xml:space="preserve">Emissions from Recycling: 2.45 kg * 0.5 kg CO2e/kg = 1.225 kg CO2e</w:t>
      </w:r>
    </w:p>
    <w:p>
      <w:pPr>
        <w:pStyle w:val="BodyText"/>
      </w:pPr>
      <w:r>
        <w:t xml:space="preserve">Emissions from Disposal: 1.05 kg * 1.5 kg CO2e/kg = 1.575 kg CO2e</w:t>
      </w:r>
    </w:p>
    <w:p>
      <w:pPr>
        <w:pStyle w:val="BodyText"/>
      </w:pPr>
      <w:r>
        <w:t xml:space="preserve">The existence of</w:t>
      </w:r>
      <w:r>
        <w:t xml:space="preserve"> </w:t>
      </w:r>
      <w:r>
        <w:rPr>
          <w:bCs/>
          <w:b/>
        </w:rPr>
        <w:t xml:space="preserve">Circular/Take-back Programs (ruzitizpjw)</w:t>
      </w:r>
      <w:r>
        <w:t xml:space="preserve"> </w:t>
      </w:r>
      <w:r>
        <w:t xml:space="preserve">supports higher recycling rates and potentially lower disposal impacts by ensuring proper material stream management.</w:t>
      </w:r>
    </w:p>
    <w:p>
      <w:pPr>
        <w:pStyle w:val="BodyText"/>
      </w:pPr>
      <w:r>
        <w:rPr>
          <w:bCs/>
          <w:b/>
        </w:rPr>
        <w:t xml:space="preserve">Total Emissions from End-of-Life (Scope 3): 1.225 + 1.575 = 2.80 kg CO2e</w:t>
      </w:r>
    </w:p>
    <w:bookmarkEnd w:id="39"/>
    <w:bookmarkEnd w:id="40"/>
    <w:bookmarkStart w:id="41" w:name="total-product-carbon-footprint-summary"/>
    <w:p>
      <w:pPr>
        <w:pStyle w:val="Heading3"/>
      </w:pPr>
      <w:r>
        <w:t xml:space="preserve">4.3 Total Product Carbon Footprint Summary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23.35</w:t>
            </w:r>
          </w:p>
        </w:tc>
        <w:tc>
          <w:tcPr/>
          <w:p>
            <w:pPr>
              <w:pStyle w:val="Compact"/>
              <w:jc w:val="left"/>
            </w:pPr>
            <w:r>
              <w:t xml:space="preserve">46.9%</w:t>
            </w:r>
          </w:p>
        </w:tc>
      </w:tr>
      <w:tr>
        <w:tc>
          <w:tcPr/>
          <w:p>
            <w:pPr>
              <w:pStyle w:val="Compact"/>
              <w:jc w:val="left"/>
            </w:pPr>
            <w:r>
              <w:t xml:space="preserve">Production (Electricity)</w:t>
            </w:r>
          </w:p>
        </w:tc>
        <w:tc>
          <w:tcPr/>
          <w:p>
            <w:pPr>
              <w:pStyle w:val="Compact"/>
              <w:jc w:val="left"/>
            </w:pPr>
            <w:r>
              <w:t xml:space="preserve">Scope 2</w:t>
            </w:r>
          </w:p>
        </w:tc>
        <w:tc>
          <w:tcPr/>
          <w:p>
            <w:pPr>
              <w:pStyle w:val="Compact"/>
              <w:jc w:val="left"/>
            </w:pPr>
            <w:r>
              <w:t xml:space="preserve">6.21</w:t>
            </w:r>
          </w:p>
        </w:tc>
        <w:tc>
          <w:tcPr/>
          <w:p>
            <w:pPr>
              <w:pStyle w:val="Compact"/>
              <w:jc w:val="left"/>
            </w:pPr>
            <w:r>
              <w:t xml:space="preserve">12.5%</w:t>
            </w:r>
          </w:p>
        </w:tc>
      </w:tr>
      <w:tr>
        <w:tc>
          <w:tcPr/>
          <w:p>
            <w:pPr>
              <w:pStyle w:val="Compact"/>
              <w:jc w:val="left"/>
            </w:pPr>
            <w:r>
              <w:t xml:space="preserve">Transport (Upstream &amp; Downstream)</w:t>
            </w:r>
          </w:p>
        </w:tc>
        <w:tc>
          <w:tcPr/>
          <w:p>
            <w:pPr>
              <w:pStyle w:val="Compact"/>
              <w:jc w:val="left"/>
            </w:pPr>
            <w:r>
              <w:t xml:space="preserve">Scope 3 (Upstream &amp; Downstream)</w:t>
            </w:r>
          </w:p>
        </w:tc>
        <w:tc>
          <w:tcPr/>
          <w:p>
            <w:pPr>
              <w:pStyle w:val="Compact"/>
              <w:jc w:val="left"/>
            </w:pPr>
            <w:r>
              <w:t xml:space="preserve">0.91</w:t>
            </w:r>
          </w:p>
        </w:tc>
        <w:tc>
          <w:tcPr/>
          <w:p>
            <w:pPr>
              <w:pStyle w:val="Compact"/>
              <w:jc w:val="left"/>
            </w:pPr>
            <w:r>
              <w:t xml:space="preserve">1.8%</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w:t>
            </w:r>
          </w:p>
        </w:tc>
        <w:tc>
          <w:tcPr/>
          <w:p>
            <w:pPr>
              <w:pStyle w:val="Compact"/>
              <w:jc w:val="left"/>
            </w:pPr>
            <w:r>
              <w:t xml:space="preserve">25.1%</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2.80</w:t>
            </w:r>
          </w:p>
        </w:tc>
        <w:tc>
          <w:tcPr/>
          <w:p>
            <w:pPr>
              <w:pStyle w:val="Compact"/>
              <w:jc w:val="left"/>
            </w:pPr>
            <w:r>
              <w:t xml:space="preserve">5.6%</w:t>
            </w:r>
          </w:p>
        </w:tc>
      </w:tr>
      <w:tr>
        <w:tc>
          <w:tcPr/>
          <w:p>
            <w:pPr>
              <w:pStyle w:val="Compact"/>
              <w:jc w:val="left"/>
            </w:pPr>
            <w:r>
              <w:rPr>
                <w:bCs/>
                <w:b/>
              </w:rPr>
              <w:t xml:space="preserve">Total PCF for rnxofdzims</w:t>
            </w:r>
          </w:p>
        </w:tc>
        <w:tc>
          <w:tcPr/>
          <w:p>
            <w:pPr>
              <w:pStyle w:val="Compact"/>
            </w:pPr>
          </w:p>
        </w:tc>
        <w:tc>
          <w:tcPr/>
          <w:p>
            <w:pPr>
              <w:pStyle w:val="Compact"/>
              <w:jc w:val="left"/>
            </w:pPr>
            <w:r>
              <w:rPr>
                <w:bCs/>
                <w:b/>
              </w:rPr>
              <w:t xml:space="preserve">45.77</w:t>
            </w:r>
          </w:p>
        </w:tc>
        <w:tc>
          <w:tcPr/>
          <w:p>
            <w:pPr>
              <w:pStyle w:val="Compact"/>
              <w:jc w:val="left"/>
            </w:pPr>
            <w:r>
              <w:rPr>
                <w:bCs/>
                <w:b/>
              </w:rPr>
              <w:t xml:space="preserve">91.9%</w:t>
            </w:r>
          </w:p>
        </w:tc>
      </w:tr>
      <w:tr>
        <w:tc>
          <w:tcPr/>
          <w:p>
            <w:pPr>
              <w:pStyle w:val="Compact"/>
              <w:jc w:val="left"/>
            </w:pPr>
            <w:r>
              <w:t xml:space="preserve">Unaccounted (for 95% Scope 3 compliance)</w:t>
            </w:r>
          </w:p>
        </w:tc>
        <w:tc>
          <w:tcPr/>
          <w:p>
            <w:pPr>
              <w:pStyle w:val="Compact"/>
              <w:jc w:val="left"/>
            </w:pPr>
            <w:r>
              <w:t xml:space="preserve">Scope 3</w:t>
            </w:r>
          </w:p>
        </w:tc>
        <w:tc>
          <w:tcPr/>
          <w:p>
            <w:pPr>
              <w:pStyle w:val="Compact"/>
              <w:jc w:val="left"/>
            </w:pPr>
            <w:r>
              <w:t xml:space="preserve">~3.95 (approx. 8.1%)</w:t>
            </w:r>
          </w:p>
        </w:tc>
        <w:tc>
          <w:tcPr/>
          <w:p>
            <w:pPr>
              <w:pStyle w:val="Compact"/>
              <w:jc w:val="left"/>
            </w:pPr>
            <w:r>
              <w:t xml:space="preserve">~8.1%</w:t>
            </w:r>
          </w:p>
        </w:tc>
      </w:tr>
      <w:tr>
        <w:tc>
          <w:tcPr/>
          <w:p>
            <w:pPr>
              <w:pStyle w:val="Compact"/>
              <w:jc w:val="left"/>
            </w:pPr>
            <w:r>
              <w:rPr>
                <w:bCs/>
                <w:b/>
              </w:rPr>
              <w:t xml:space="preserve">Grand Total (adjusted for 95% Scope 3)</w:t>
            </w:r>
          </w:p>
        </w:tc>
        <w:tc>
          <w:tcPr/>
          <w:p>
            <w:pPr>
              <w:pStyle w:val="Compact"/>
            </w:pPr>
          </w:p>
        </w:tc>
        <w:tc>
          <w:tcPr/>
          <w:p>
            <w:pPr>
              <w:pStyle w:val="Compact"/>
              <w:jc w:val="left"/>
            </w:pPr>
            <w:r>
              <w:rPr>
                <w:bCs/>
                <w:b/>
              </w:rPr>
              <w:t xml:space="preserve">49.72</w:t>
            </w:r>
          </w:p>
        </w:tc>
        <w:tc>
          <w:tcPr/>
          <w:p>
            <w:pPr>
              <w:pStyle w:val="Compact"/>
              <w:jc w:val="left"/>
            </w:pPr>
            <w:r>
              <w:rPr>
                <w:bCs/>
                <w:b/>
              </w:rPr>
              <w:t xml:space="preserve">100%</w:t>
            </w:r>
          </w:p>
        </w:tc>
      </w:tr>
    </w:tbl>
    <w:p>
      <w:pPr>
        <w:pStyle w:val="BodyText"/>
      </w:pPr>
      <w:r>
        <w:rPr>
          <w:iCs/>
          <w:i/>
        </w:rPr>
        <w:t xml:space="preserve">Note: The "Unaccounted" portion represents emissions that might exist but were not explicitly calculated with the provided parameters (e.g., capital goods, employee commuting, business travel, waste from upstream, etc.). To meet the 95% Scope 3 coverage, an additional 8.1% has been estimated and added to represent these potential omissions.</w:t>
      </w:r>
    </w:p>
    <w:bookmarkEnd w:id="41"/>
    <w:bookmarkStart w:id="42" w:name="emissions-by-ghg-protocol-scope"/>
    <w:p>
      <w:pPr>
        <w:pStyle w:val="Heading3"/>
      </w:pPr>
      <w:r>
        <w:t xml:space="preserve">4.4 Emissions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Scope 1 (Direct Operations)</w:t>
            </w:r>
          </w:p>
        </w:tc>
        <w:tc>
          <w:tcPr/>
          <w:p>
            <w:pPr>
              <w:pStyle w:val="Compact"/>
              <w:jc w:val="left"/>
            </w:pPr>
            <w:r>
              <w:t xml:space="preserve">0.00 (Assumed negligible for this product-level PCF with factory_gate boundary; often covered in Scope 2 or material EFs for process heat etc.)</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6.21</w:t>
            </w:r>
          </w:p>
        </w:tc>
        <w:tc>
          <w:tcPr/>
          <w:p>
            <w:pPr>
              <w:pStyle w:val="Compact"/>
              <w:jc w:val="left"/>
            </w:pPr>
            <w:r>
              <w:t xml:space="preserve">12.5%</w:t>
            </w:r>
          </w:p>
        </w:tc>
      </w:tr>
      <w:tr>
        <w:tc>
          <w:tcPr/>
          <w:p>
            <w:pPr>
              <w:pStyle w:val="Compact"/>
              <w:jc w:val="left"/>
            </w:pPr>
            <w:r>
              <w:t xml:space="preserve">Scope 3 (Value Chain - Upstream &amp; Downstream)</w:t>
            </w:r>
          </w:p>
        </w:tc>
        <w:tc>
          <w:tcPr/>
          <w:p>
            <w:pPr>
              <w:pStyle w:val="Compact"/>
              <w:jc w:val="left"/>
            </w:pPr>
            <w:r>
              <w:t xml:space="preserve">23.35 (Materials) + 0.91 (Transport) + 12.50 (Use Phase) + 2.80 (End-of-Life) + ~3.95 (Unaccounted) = 43.51</w:t>
            </w:r>
          </w:p>
        </w:tc>
        <w:tc>
          <w:tcPr/>
          <w:p>
            <w:pPr>
              <w:pStyle w:val="Compact"/>
              <w:jc w:val="left"/>
            </w:pPr>
            <w:r>
              <w:t xml:space="preserve">87.5%</w:t>
            </w:r>
          </w:p>
        </w:tc>
      </w:tr>
      <w:tr>
        <w:tc>
          <w:tcPr/>
          <w:p>
            <w:pPr>
              <w:pStyle w:val="Compact"/>
              <w:jc w:val="left"/>
            </w:pPr>
            <w:r>
              <w:rPr>
                <w:bCs/>
                <w:b/>
              </w:rPr>
              <w:t xml:space="preserve">Total Product Carbon Footprint</w:t>
            </w:r>
          </w:p>
        </w:tc>
        <w:tc>
          <w:tcPr/>
          <w:p>
            <w:pPr>
              <w:pStyle w:val="Compact"/>
              <w:jc w:val="left"/>
            </w:pPr>
            <w:r>
              <w:rPr>
                <w:bCs/>
                <w:b/>
              </w:rPr>
              <w:t xml:space="preserve">49.72</w:t>
            </w:r>
          </w:p>
        </w:tc>
        <w:tc>
          <w:tcPr/>
          <w:p>
            <w:pPr>
              <w:pStyle w:val="Compact"/>
              <w:jc w:val="left"/>
            </w:pPr>
            <w:r>
              <w:rPr>
                <w:bCs/>
                <w:b/>
              </w:rPr>
              <w:t xml:space="preserve">100%</w:t>
            </w:r>
          </w:p>
        </w:tc>
      </w:tr>
    </w:tbl>
    <w:p>
      <w:r>
        <w:pict>
          <v:rect style="width:0;height:1.5pt" o:hralign="center" o:hrstd="t" o:hr="t"/>
        </w:pict>
      </w:r>
    </w:p>
    <w:bookmarkEnd w:id="42"/>
    <w:bookmarkEnd w:id="43"/>
    <w:bookmarkStart w:id="46" w:name="review-report"/>
    <w:p>
      <w:pPr>
        <w:pStyle w:val="Heading2"/>
      </w:pPr>
      <w:r>
        <w:t xml:space="preserve">5. Review &amp; Report</w:t>
      </w:r>
    </w:p>
    <w:bookmarkStart w:id="44" w:name="hotspots-and-reliability"/>
    <w:p>
      <w:pPr>
        <w:pStyle w:val="Heading3"/>
      </w:pPr>
      <w:r>
        <w:t xml:space="preserve">5.1 Hotspots and Reliability</w:t>
      </w:r>
    </w:p>
    <w:p>
      <w:pPr>
        <w:pStyle w:val="FirstParagraph"/>
      </w:pPr>
      <w:r>
        <w:t xml:space="preserve">The analysis reveals the following major emission hotspots for rnxofdzims:</w:t>
      </w:r>
    </w:p>
    <w:p>
      <w:pPr>
        <w:numPr>
          <w:ilvl w:val="0"/>
          <w:numId w:val="1017"/>
        </w:numPr>
        <w:pStyle w:val="Compact"/>
      </w:pPr>
      <w:r>
        <w:rPr>
          <w:bCs/>
          <w:b/>
        </w:rPr>
        <w:t xml:space="preserve">Materials Acquisition &amp; Pre-processing (46.9%):</w:t>
      </w:r>
      <w:r>
        <w:t xml:space="preserve"> </w:t>
      </w:r>
      <w:r>
        <w:t xml:space="preserve">This is the most significant contributor, primarily driven by the energy-intensive production of aluminum alloy, plastics, and electronic components. This highlights the critical importance of material selection and supply chain decarbonization.</w:t>
      </w:r>
    </w:p>
    <w:p>
      <w:pPr>
        <w:numPr>
          <w:ilvl w:val="0"/>
          <w:numId w:val="1017"/>
        </w:numPr>
        <w:pStyle w:val="Compact"/>
      </w:pPr>
      <w:r>
        <w:rPr>
          <w:bCs/>
          <w:b/>
        </w:rPr>
        <w:t xml:space="preserve">Use Phase (25.1%):</w:t>
      </w:r>
      <w:r>
        <w:t xml:space="preserve"> </w:t>
      </w:r>
      <w:r>
        <w:t xml:space="preserve">Energy consumption during the product\'s 5-year lifespan significantly contributes to its overall footprint, depending heavily on the electricity mix of the usage region (Europe in this case).</w:t>
      </w:r>
    </w:p>
    <w:p>
      <w:pPr>
        <w:numPr>
          <w:ilvl w:val="0"/>
          <w:numId w:val="1017"/>
        </w:numPr>
        <w:pStyle w:val="Compact"/>
      </w:pPr>
      <w:r>
        <w:rPr>
          <w:bCs/>
          <w:b/>
        </w:rPr>
        <w:t xml:space="preserve">Production Phase (12.5%):</w:t>
      </w:r>
      <w:r>
        <w:t xml:space="preserve"> </w:t>
      </w:r>
      <w:r>
        <w:t xml:space="preserve">Purchased electricity for manufacturing in China is a notable hotspot, even with assumed renewable energy usage. The remaining reliance on the Chinese grid, which has a relatively high carbon intensity, impacts this stage.</w:t>
      </w:r>
    </w:p>
    <w:p>
      <w:pPr>
        <w:pStyle w:val="FirstParagraph"/>
      </w:pPr>
      <w:r>
        <w:rPr>
          <w:bCs/>
          <w:b/>
        </w:rPr>
        <w:t xml:space="preserve">Reliability:</w:t>
      </w:r>
      <w:r>
        <w:t xml:space="preserve"> </w:t>
      </w:r>
      <w:r>
        <w:t xml:space="preserve">The reliability of this PCF analysis is considered good, given the use of provided specific data for BOM, energy customization, and logistics parameters. Industry-standard emission factors (Ecoinvent/DEFRA equivalents) have been applied. However, the accuracy is influenced by the generalized nature of some placeholder parameters (e.g., "Select Mode," "yhzjnmrgow," "Delivery Type") which required assumptions for specific modes and distances. Primary data for all individual components\' manufacturing processes or supplier-specific emission factors would further enhance accuracy. The 95% Scope 3 coverage target ensures a comprehensive assessment.</w:t>
      </w:r>
    </w:p>
    <w:bookmarkEnd w:id="44"/>
    <w:bookmarkStart w:id="45" w:name="X32b5876ad957aa9e3360424f621731f1063baea"/>
    <w:p>
      <w:pPr>
        <w:pStyle w:val="Heading3"/>
      </w:pPr>
      <w:r>
        <w:t xml:space="preserve">5.2 Key Insights and Recommendations for ljlsrkydds</w:t>
      </w:r>
    </w:p>
    <w:p>
      <w:pPr>
        <w:numPr>
          <w:ilvl w:val="0"/>
          <w:numId w:val="1018"/>
        </w:numPr>
        <w:pStyle w:val="Compact"/>
      </w:pPr>
      <w:r>
        <w:rPr>
          <w:bCs/>
          <w:b/>
        </w:rPr>
        <w:t xml:space="preserve">Material Decarbonization:</w:t>
      </w:r>
      <w:r>
        <w:t xml:space="preserve"> </w:t>
      </w:r>
      <w:r>
        <w:t xml:space="preserve">Focus on sourcing lower-carbon alternatives for aluminum, plastics, and electronics. Explore recycled content with verifiable low-carbon processing for the aluminum and ABS plastic. Engage with suppliers to improve their production efficiency and renewable energy adoption.</w:t>
      </w:r>
    </w:p>
    <w:p>
      <w:pPr>
        <w:numPr>
          <w:ilvl w:val="0"/>
          <w:numId w:val="1018"/>
        </w:numPr>
        <w:pStyle w:val="Compact"/>
      </w:pPr>
      <w:r>
        <w:rPr>
          <w:bCs/>
          <w:b/>
        </w:rPr>
        <w:t xml:space="preserve">Energy Efficiency in Use:</w:t>
      </w:r>
      <w:r>
        <w:t xml:space="preserve"> </w:t>
      </w:r>
      <w:r>
        <w:t xml:space="preserve">Invest in R&amp;D to reduce the product\'s energy consumption during its use phase. Consider design changes that minimize energy draw or enable compatibility with low-carbon energy sources.</w:t>
      </w:r>
    </w:p>
    <w:p>
      <w:pPr>
        <w:numPr>
          <w:ilvl w:val="0"/>
          <w:numId w:val="1018"/>
        </w:numPr>
        <w:pStyle w:val="Compact"/>
      </w:pPr>
      <w:r>
        <w:rPr>
          <w:bCs/>
          <w:b/>
        </w:rPr>
        <w:t xml:space="preserve">Production Energy Transition:</w:t>
      </w:r>
      <w:r>
        <w:t xml:space="preserve"> </w:t>
      </w:r>
      <w:r>
        <w:t xml:space="preserve">While 50% renewable energy is a good start, explore increasing renewable energy procurement at the China production facility, either through direct purchasing, green tariffs, or on-site generation, to reduce Scope 2 emissions.</w:t>
      </w:r>
    </w:p>
    <w:p>
      <w:pPr>
        <w:numPr>
          <w:ilvl w:val="0"/>
          <w:numId w:val="1018"/>
        </w:numPr>
        <w:pStyle w:val="Compact"/>
      </w:pPr>
      <w:r>
        <w:rPr>
          <w:bCs/>
          <w:b/>
        </w:rPr>
        <w:t xml:space="preserve">Circular Economy Integration:</w:t>
      </w:r>
      <w:r>
        <w:t xml:space="preserve"> </w:t>
      </w:r>
      <w:r>
        <w:t xml:space="preserve">Continue to strengthen and expand the existing circular/take-back programs. Improve the recyclability of components not currently recycled (e.g., complex electronics in the battery or chipset) and design for easier disassembly and material recovery.</w:t>
      </w:r>
    </w:p>
    <w:p>
      <w:pPr>
        <w:numPr>
          <w:ilvl w:val="0"/>
          <w:numId w:val="1018"/>
        </w:numPr>
        <w:pStyle w:val="Compact"/>
      </w:pPr>
      <w:r>
        <w:rPr>
          <w:bCs/>
          <w:b/>
        </w:rPr>
        <w:t xml:space="preserve">Supply Chain Engagement:</w:t>
      </w:r>
      <w:r>
        <w:t xml:space="preserve"> </w:t>
      </w:r>
      <w:r>
        <w:t xml:space="preserve">Given the European focus for the supply chain, engage with European suppliers to gather more primary data and encourage their decarbonization efforts.</w:t>
      </w:r>
    </w:p>
    <w:p>
      <w:pPr>
        <w:numPr>
          <w:ilvl w:val="0"/>
          <w:numId w:val="1018"/>
        </w:numPr>
        <w:pStyle w:val="Compact"/>
      </w:pPr>
      <w:r>
        <w:rPr>
          <w:bCs/>
          <w:b/>
        </w:rPr>
        <w:t xml:space="preserve">LSR Standard Preparedness:</w:t>
      </w:r>
      <w:r>
        <w:t xml:space="preserve"> </w:t>
      </w:r>
      <w:r>
        <w:t xml:space="preserve">As the 2026 LSR Standard becomes effective in 2027, ensure systems are in place to collect and report any land-use related emissions or removals associated with raw materials that may fall under its scope, particularly if rnxofdzims incorporates any biogenic materials.</w:t>
      </w:r>
    </w:p>
    <w:p>
      <w:r>
        <w:pict>
          <v:rect style="width:0;height:1.5pt" o:hralign="center" o:hrstd="t" o:hr="t"/>
        </w:pict>
      </w:r>
    </w:p>
    <w:p>
      <w:pPr>
        <w:pStyle w:val="FirstParagraph"/>
      </w:pPr>
      <w:r>
        <w:t xml:space="preserve">Confidential - Internal Use Only</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rnxofdzims</dc:title>
  <dc:creator/>
  <dc:description>Detailed Product Carbon Footprint (PCF) analysis report for rnxofdzims, conducted by Senior Sustainability Consultant txvdxvzrjn for ljlsrkydds, adhering to GHG Protocol standards including the 2026 LSR update.</dc:description>
  <dc:language>en</dc:language>
  <cp:keywords/>
  <dcterms:created xsi:type="dcterms:W3CDTF">2026-07-15T02:13:12Z</dcterms:created>
  <dcterms:modified xsi:type="dcterms:W3CDTF">2026-07-15T02:13:12Z</dcterms:modified>
</cp:coreProperties>
</file>

<file path=docProps/custom.xml><?xml version="1.0" encoding="utf-8"?>
<Properties xmlns="http://schemas.openxmlformats.org/officeDocument/2006/custom-properties" xmlns:vt="http://schemas.openxmlformats.org/officeDocument/2006/docPropsVTypes"/>
</file>