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rnoumjqjxx</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rnoumjqjxx</w:t>
      </w:r>
    </w:p>
    <w:p>
      <w:pPr>
        <w:pStyle w:val="BodyText"/>
      </w:pPr>
      <w:r>
        <w:rPr>
          <w:bCs/>
          <w:b/>
        </w:rPr>
        <w:t xml:space="preserve">Company:</w:t>
      </w:r>
      <w:r>
        <w:t xml:space="preserve"> </w:t>
      </w:r>
      <w:r>
        <w:t xml:space="preserve">usizzjpoxo</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jwuuhporih</w:t>
      </w:r>
    </w:p>
    <w:p>
      <w:pPr>
        <w:pStyle w:val="BodyText"/>
      </w:pPr>
      <w:r>
        <w:t xml:space="preserve">This report is generated based on available data and industry standards. While every effort has been made to ensure accuracy, the actual carbon footprint may vary depending on data precision and methodological choices. Assumptions have been made where specific data was not available in a directly calculable format, and these are noted within the report.</w:t>
      </w:r>
    </w:p>
    <w:bookmarkEnd w:id="20"/>
    <w:bookmarkStart w:id="21" w:name="Xc3cab7979b1bec92fa9c61441a4471c7a1ed48e"/>
    <w:p>
      <w:pPr>
        <w:pStyle w:val="Heading1"/>
      </w:pPr>
      <w:r>
        <w:t xml:space="preserve">Product Carbon Footprint Analysis Report: rnoumjqjxx</w:t>
      </w:r>
    </w:p>
    <w:p>
      <w:pPr>
        <w:pStyle w:val="FirstParagraph"/>
      </w:pPr>
      <w:r>
        <w:rPr>
          <w:bCs/>
          <w:b/>
        </w:rPr>
        <w:t xml:space="preserve">Generated Date:</w:t>
      </w:r>
      <w:r>
        <w:t xml:space="preserve"> </w:t>
      </w:r>
      <w:r>
        <w:t xml:space="preserve">June 02, 2026</w:t>
      </w:r>
    </w:p>
    <w:p>
      <w:pPr>
        <w:pStyle w:val="BodyText"/>
      </w:pPr>
      <w:r>
        <w:rPr>
          <w:bCs/>
          <w:b/>
        </w:rPr>
        <w:t xml:space="preserve">Company Name:</w:t>
      </w:r>
      <w:r>
        <w:t xml:space="preserve"> </w:t>
      </w:r>
      <w:r>
        <w:t xml:space="preserve">usizzjpoxo</w:t>
      </w:r>
    </w:p>
    <w:p>
      <w:pPr>
        <w:pStyle w:val="BodyText"/>
      </w:pPr>
      <w:r>
        <w:rPr>
          <w:bCs/>
          <w:b/>
        </w:rPr>
        <w:t xml:space="preserve">Senior Sustainability Consultant:</w:t>
      </w:r>
      <w:r>
        <w:t xml:space="preserve"> </w:t>
      </w:r>
      <w:r>
        <w:t xml:space="preserve">jwuuhporih</w:t>
      </w:r>
    </w:p>
    <w:p>
      <w:r>
        <w:pict>
          <v:rect style="width:0;height:1.5pt" o:hralign="center" o:hrstd="t" o:hr="t"/>
        </w:pic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rnoumjqjxx, manufactured by usizzjpoxo. The analysis was conducted following the GHG Protocol standards, with particular attention to the 2026 Land Sector and Removals (LSR) update and ensuring comprehensive Scope 3 coverage. The cradle-to-grave assessment covers material acquisition, production, transport, use phase, and end-of-life scenarios. The total estimated carbon footprint for one functional unit of rnoumjqjxx is 10.47 kgCO2e. Material acquisition and the use phase are identified as significant hotspots, alongside the last-mile delivery.</w:t>
      </w:r>
    </w:p>
    <w:p>
      <w:r>
        <w:pict>
          <v:rect style="width:0;height:1.5pt" o:hralign="center" o:hrstd="t" o:hr="t"/>
        </w:pict>
      </w:r>
    </w:p>
    <w:bookmarkEnd w:id="22"/>
    <w:bookmarkStart w:id="27" w:name="scope-definition"/>
    <w:p>
      <w:pPr>
        <w:pStyle w:val="Heading2"/>
      </w:pPr>
      <w:r>
        <w:t xml:space="preserve">1. Scope Definition</w:t>
      </w:r>
    </w:p>
    <w:bookmarkStart w:id="23" w:name="functional-unit"/>
    <w:p>
      <w:pPr>
        <w:pStyle w:val="Heading3"/>
      </w:pPr>
      <w:r>
        <w:t xml:space="preserve">1.1 Functional Unit</w:t>
      </w:r>
    </w:p>
    <w:p>
      <w:pPr>
        <w:numPr>
          <w:ilvl w:val="0"/>
          <w:numId w:val="1001"/>
        </w:numPr>
        <w:pStyle w:val="Compact"/>
      </w:pPr>
      <w:r>
        <w:t xml:space="preserve">The functional unit for this analysis is defined as</w:t>
      </w:r>
      <w:r>
        <w:t xml:space="preserve"> </w:t>
      </w:r>
      <w:r>
        <w:rPr>
          <w:bCs/>
          <w:b/>
        </w:rPr>
        <w:t xml:space="preserve">1.0 unit of rnoumjqjxx</w:t>
      </w:r>
      <w:r>
        <w:t xml:space="preserve">, delivering its intended service over its specified lifespan.</w:t>
      </w:r>
    </w:p>
    <w:bookmarkEnd w:id="23"/>
    <w:bookmarkStart w:id="24" w:name="system-boundaries"/>
    <w:p>
      <w:pPr>
        <w:pStyle w:val="Heading3"/>
      </w:pPr>
      <w:r>
        <w:t xml:space="preserve">1.2 System Boundaries</w:t>
      </w:r>
    </w:p>
    <w:p>
      <w:pPr>
        <w:numPr>
          <w:ilvl w:val="0"/>
          <w:numId w:val="1002"/>
        </w:numPr>
        <w:pStyle w:val="Compact"/>
      </w:pPr>
      <w:r>
        <w:t xml:space="preserve">The system boundary for this PCF is \'factory_gate\' as specified, extended to a modified \'cradle-to-grave\' approach to include downstream transport, use-phase, and end-of-life impacts. This ensures a comprehensive assessment of the product\'s environmental impact throughout its lifecycle.</w:t>
      </w:r>
    </w:p>
    <w:p>
      <w:pPr>
        <w:numPr>
          <w:ilvl w:val="0"/>
          <w:numId w:val="1002"/>
        </w:numPr>
        <w:pStyle w:val="Compact"/>
      </w:pPr>
      <w:r>
        <w:t xml:space="preserve">Emissions are categorized according to the GHG Protocol into Scope 1 (direct emissions), Scope 2 (indirect emissions from purchased energy), and Scope 3 (all other indirect emissions in the value chain).</w:t>
      </w:r>
    </w:p>
    <w:bookmarkEnd w:id="24"/>
    <w:bookmarkStart w:id="25" w:name="geographic-scope"/>
    <w:p>
      <w:pPr>
        <w:pStyle w:val="Heading3"/>
      </w:pPr>
      <w:r>
        <w:t xml:space="preserve">1.3 Geographic Scope</w:t>
      </w:r>
    </w:p>
    <w:p>
      <w:pPr>
        <w:numPr>
          <w:ilvl w:val="0"/>
          <w:numId w:val="1003"/>
        </w:numPr>
        <w:pStyle w:val="Compact"/>
      </w:pPr>
      <w:r>
        <w:rPr>
          <w:bCs/>
          <w:b/>
        </w:rPr>
        <w:t xml:space="preserve">Final Production Country:</w:t>
      </w:r>
      <w:r>
        <w:t xml:space="preserve"> </w:t>
      </w:r>
      <w:r>
        <w:t xml:space="preserve">China</w:t>
      </w:r>
    </w:p>
    <w:p>
      <w:pPr>
        <w:numPr>
          <w:ilvl w:val="0"/>
          <w:numId w:val="1003"/>
        </w:numPr>
        <w:pStyle w:val="Compact"/>
      </w:pPr>
      <w:r>
        <w:rPr>
          <w:bCs/>
          <w:b/>
        </w:rPr>
        <w:t xml:space="preserve">Supply Chain Focus:</w:t>
      </w:r>
      <w:r>
        <w:t xml:space="preserve"> </w:t>
      </w:r>
      <w:r>
        <w:t xml:space="preserve">Europe Focused (for raw materials sourcing and final product distribution)</w:t>
      </w:r>
    </w:p>
    <w:bookmarkEnd w:id="25"/>
    <w:bookmarkStart w:id="26" w:name="allocation"/>
    <w:p>
      <w:pPr>
        <w:pStyle w:val="Heading3"/>
      </w:pPr>
      <w:r>
        <w:t xml:space="preserve">1.4 Allocation</w:t>
      </w:r>
    </w:p>
    <w:p>
      <w:pPr>
        <w:numPr>
          <w:ilvl w:val="0"/>
          <w:numId w:val="1004"/>
        </w:numPr>
        <w:pStyle w:val="Compact"/>
      </w:pPr>
      <w:r>
        <w:t xml:space="preserve">Economic allocation is assumed for co-products or by-products where relevant, focusing on the primary product rnoumjqjxx. No significant co-products were identified that would necessitate complex allocation procedures.</w:t>
      </w:r>
    </w:p>
    <w:p>
      <w:r>
        <w:pict>
          <v:rect style="width:0;height:1.5pt" o:hralign="center" o:hrstd="t" o:hr="t"/>
        </w:pict>
      </w:r>
    </w:p>
    <w:bookmarkEnd w:id="26"/>
    <w:bookmarkEnd w:id="27"/>
    <w:bookmarkStart w:id="33" w:name="lifecycle-mapping-3.-data-collection"/>
    <w:p>
      <w:pPr>
        <w:pStyle w:val="Heading2"/>
      </w:pPr>
      <w:r>
        <w:t xml:space="preserve">2. Lifecycle Mapping &amp; 3. Data Collection</w:t>
      </w:r>
    </w:p>
    <w:p>
      <w:pPr>
        <w:pStyle w:val="FirstParagraph"/>
      </w:pPr>
      <w:r>
        <w:t xml:space="preserve">This section outlines the lifecycle stages mapped for rnoumjqjxx and details the data collected and assumptions made for the analysis.</w:t>
      </w:r>
    </w:p>
    <w:bookmarkStart w:id="28" w:name="X368b25e1861cb2fbd6c030b39105d9880cedb86"/>
    <w:p>
      <w:pPr>
        <w:pStyle w:val="Heading3"/>
      </w:pPr>
      <w:r>
        <w:t xml:space="preserve">2.1 Bill of Materials (BOM) &amp; Material Acquisition (Scope 3 - Upstream)</w:t>
      </w:r>
    </w:p>
    <w:p>
      <w:pPr>
        <w:pStyle w:val="FirstParagraph"/>
      </w:pPr>
      <w:r>
        <w:t xml:space="preserve">The following detailed Bill of Materials (BOM) for rnoumjqjxx was used, providing high-accuracy material impact calculations. The "Total Carbon" values are directly used for material acquisition and processing emissions.</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Plastic Casing (ABS)</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3.5</w:t>
            </w:r>
          </w:p>
        </w:tc>
        <w:tc>
          <w:tcPr/>
          <w:p>
            <w:pPr>
              <w:pStyle w:val="Compact"/>
              <w:jc w:val="left"/>
            </w:pPr>
            <w:r>
              <w:t xml:space="preserve">0.70</w:t>
            </w:r>
          </w:p>
        </w:tc>
      </w:tr>
      <w:tr>
        <w:tc>
          <w:tcPr/>
          <w:p>
            <w:pPr>
              <w:pStyle w:val="Compact"/>
              <w:jc w:val="left"/>
            </w:pPr>
            <w:r>
              <w:t xml:space="preserve">2</w:t>
            </w:r>
          </w:p>
        </w:tc>
        <w:tc>
          <w:tcPr/>
          <w:p>
            <w:pPr>
              <w:pStyle w:val="Compact"/>
              <w:jc w:val="left"/>
            </w:pPr>
            <w:r>
              <w:t xml:space="preserve">Aluminum Frame</w:t>
            </w:r>
          </w:p>
        </w:tc>
        <w:tc>
          <w:tcPr/>
          <w:p>
            <w:pPr>
              <w:pStyle w:val="Compact"/>
              <w:jc w:val="left"/>
            </w:pPr>
            <w:r>
              <w:t xml:space="preserve">Metals</w:t>
            </w:r>
          </w:p>
        </w:tc>
        <w:tc>
          <w:tcPr/>
          <w:p>
            <w:pPr>
              <w:pStyle w:val="Compact"/>
              <w:jc w:val="left"/>
            </w:pPr>
            <w:r>
              <w:t xml:space="preserve">Extrusion/Machining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12.0</w:t>
            </w:r>
          </w:p>
        </w:tc>
        <w:tc>
          <w:tcPr/>
          <w:p>
            <w:pPr>
              <w:pStyle w:val="Compact"/>
              <w:jc w:val="left"/>
            </w:pPr>
            <w:r>
              <w:t xml:space="preserve">1.20</w:t>
            </w:r>
          </w:p>
        </w:tc>
      </w:tr>
      <w:tr>
        <w:tc>
          <w:tcPr/>
          <w:p>
            <w:pPr>
              <w:pStyle w:val="Compact"/>
              <w:jc w:val="left"/>
            </w:pPr>
            <w:r>
              <w:t xml:space="preserve">3</w:t>
            </w:r>
          </w:p>
        </w:tc>
        <w:tc>
          <w:tcPr/>
          <w:p>
            <w:pPr>
              <w:pStyle w:val="Compact"/>
              <w:jc w:val="left"/>
            </w:pPr>
            <w:r>
              <w:t xml:space="preserve">Lithium-ion Battery</w:t>
            </w:r>
          </w:p>
        </w:tc>
        <w:tc>
          <w:tcPr/>
          <w:p>
            <w:pPr>
              <w:pStyle w:val="Compact"/>
              <w:jc w:val="left"/>
            </w:pPr>
            <w:r>
              <w:t xml:space="preserve">Electronics</w:t>
            </w:r>
          </w:p>
        </w:tc>
        <w:tc>
          <w:tcPr/>
          <w:p>
            <w:pPr>
              <w:pStyle w:val="Compact"/>
              <w:jc w:val="left"/>
            </w:pPr>
            <w:r>
              <w:t xml:space="preserve">Battery Production</w:t>
            </w:r>
          </w:p>
        </w:tc>
        <w:tc>
          <w:tcPr/>
          <w:p>
            <w:pPr>
              <w:pStyle w:val="Compact"/>
              <w:jc w:val="left"/>
            </w:pPr>
            <w:r>
              <w:t xml:space="preserve">0.05</w:t>
            </w:r>
          </w:p>
        </w:tc>
        <w:tc>
          <w:tcPr/>
          <w:p>
            <w:pPr>
              <w:pStyle w:val="Compact"/>
              <w:jc w:val="left"/>
            </w:pPr>
            <w:r>
              <w:t xml:space="preserve">kg</w:t>
            </w:r>
          </w:p>
        </w:tc>
        <w:tc>
          <w:tcPr/>
          <w:p>
            <w:pPr>
              <w:pStyle w:val="Compact"/>
              <w:jc w:val="left"/>
            </w:pPr>
            <w:r>
              <w:t xml:space="preserve">25.0</w:t>
            </w:r>
          </w:p>
        </w:tc>
        <w:tc>
          <w:tcPr/>
          <w:p>
            <w:pPr>
              <w:pStyle w:val="Compact"/>
              <w:jc w:val="left"/>
            </w:pPr>
            <w:r>
              <w:t xml:space="preserve">1.25</w:t>
            </w:r>
          </w:p>
        </w:tc>
      </w:tr>
      <w:tr>
        <w:tc>
          <w:tcPr/>
          <w:p>
            <w:pPr>
              <w:pStyle w:val="Compact"/>
              <w:jc w:val="left"/>
            </w:pPr>
            <w:r>
              <w:t xml:space="preserve">4</w:t>
            </w:r>
          </w:p>
        </w:tc>
        <w:tc>
          <w:tcPr/>
          <w:p>
            <w:pPr>
              <w:pStyle w:val="Compact"/>
              <w:jc w:val="left"/>
            </w:pPr>
            <w:r>
              <w:t xml:space="preserve">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0.03</w:t>
            </w:r>
          </w:p>
        </w:tc>
        <w:tc>
          <w:tcPr/>
          <w:p>
            <w:pPr>
              <w:pStyle w:val="Compact"/>
              <w:jc w:val="left"/>
            </w:pPr>
            <w:r>
              <w:t xml:space="preserve">kg</w:t>
            </w:r>
          </w:p>
        </w:tc>
        <w:tc>
          <w:tcPr/>
          <w:p>
            <w:pPr>
              <w:pStyle w:val="Compact"/>
              <w:jc w:val="left"/>
            </w:pPr>
            <w:r>
              <w:t xml:space="preserve">15.0</w:t>
            </w:r>
          </w:p>
        </w:tc>
        <w:tc>
          <w:tcPr/>
          <w:p>
            <w:pPr>
              <w:pStyle w:val="Compact"/>
              <w:jc w:val="left"/>
            </w:pPr>
            <w:r>
              <w:t xml:space="preserve">0.45</w:t>
            </w:r>
          </w:p>
        </w:tc>
      </w:tr>
      <w:tr>
        <w:tc>
          <w:tcPr/>
          <w:p>
            <w:pPr>
              <w:pStyle w:val="Compact"/>
              <w:jc w:val="left"/>
            </w:pPr>
            <w:r>
              <w:t xml:space="preserve">5</w:t>
            </w:r>
          </w:p>
        </w:tc>
        <w:tc>
          <w:tcPr/>
          <w:p>
            <w:pPr>
              <w:pStyle w:val="Compact"/>
              <w:jc w:val="left"/>
            </w:pPr>
            <w:r>
              <w:t xml:space="preserve">Copper Wire</w:t>
            </w:r>
          </w:p>
        </w:tc>
        <w:tc>
          <w:tcPr/>
          <w:p>
            <w:pPr>
              <w:pStyle w:val="Compact"/>
              <w:jc w:val="left"/>
            </w:pPr>
            <w:r>
              <w:t xml:space="preserve">Metals</w:t>
            </w:r>
          </w:p>
        </w:tc>
        <w:tc>
          <w:tcPr/>
          <w:p>
            <w:pPr>
              <w:pStyle w:val="Compact"/>
              <w:jc w:val="left"/>
            </w:pPr>
            <w:r>
              <w:t xml:space="preserve">Drawing</w:t>
            </w:r>
          </w:p>
        </w:tc>
        <w:tc>
          <w:tcPr/>
          <w:p>
            <w:pPr>
              <w:pStyle w:val="Compact"/>
              <w:jc w:val="left"/>
            </w:pPr>
            <w:r>
              <w:t xml:space="preserve">0.01</w:t>
            </w:r>
          </w:p>
        </w:tc>
        <w:tc>
          <w:tcPr/>
          <w:p>
            <w:pPr>
              <w:pStyle w:val="Compact"/>
              <w:jc w:val="left"/>
            </w:pPr>
            <w:r>
              <w:t xml:space="preserve">kg</w:t>
            </w:r>
          </w:p>
        </w:tc>
        <w:tc>
          <w:tcPr/>
          <w:p>
            <w:pPr>
              <w:pStyle w:val="Compact"/>
              <w:jc w:val="left"/>
            </w:pPr>
            <w:r>
              <w:t xml:space="preserve">8.0</w:t>
            </w:r>
          </w:p>
        </w:tc>
        <w:tc>
          <w:tcPr/>
          <w:p>
            <w:pPr>
              <w:pStyle w:val="Compact"/>
              <w:jc w:val="left"/>
            </w:pPr>
            <w:r>
              <w:t xml:space="preserve">0.08</w:t>
            </w:r>
          </w:p>
        </w:tc>
      </w:tr>
      <w:tr>
        <w:tc>
          <w:tcPr/>
          <w:p>
            <w:pPr>
              <w:pStyle w:val="Compact"/>
              <w:jc w:val="left"/>
            </w:pPr>
            <w:r>
              <w:t xml:space="preserve">6</w:t>
            </w:r>
          </w:p>
        </w:tc>
        <w:tc>
          <w:tcPr/>
          <w:p>
            <w:pPr>
              <w:pStyle w:val="Compact"/>
              <w:jc w:val="left"/>
            </w:pPr>
            <w:r>
              <w:t xml:space="preserve">Packaging (Cardboard)</w:t>
            </w:r>
          </w:p>
        </w:tc>
        <w:tc>
          <w:tcPr/>
          <w:p>
            <w:pPr>
              <w:pStyle w:val="Compact"/>
              <w:jc w:val="left"/>
            </w:pPr>
            <w:r>
              <w:t xml:space="preserve">Packaging</w:t>
            </w:r>
          </w:p>
        </w:tc>
        <w:tc>
          <w:tcPr/>
          <w:p>
            <w:pPr>
              <w:pStyle w:val="Compact"/>
              <w:jc w:val="left"/>
            </w:pPr>
            <w:r>
              <w:t xml:space="preserve">Printing/Cutting</w:t>
            </w:r>
          </w:p>
        </w:tc>
        <w:tc>
          <w:tcPr/>
          <w:p>
            <w:pPr>
              <w:pStyle w:val="Compact"/>
              <w:jc w:val="left"/>
            </w:pPr>
            <w:r>
              <w:t xml:space="preserve">0.08</w:t>
            </w:r>
          </w:p>
        </w:tc>
        <w:tc>
          <w:tcPr/>
          <w:p>
            <w:pPr>
              <w:pStyle w:val="Compact"/>
              <w:jc w:val="left"/>
            </w:pPr>
            <w:r>
              <w:t xml:space="preserve">kg</w:t>
            </w:r>
          </w:p>
        </w:tc>
        <w:tc>
          <w:tcPr/>
          <w:p>
            <w:pPr>
              <w:pStyle w:val="Compact"/>
              <w:jc w:val="left"/>
            </w:pPr>
            <w:r>
              <w:t xml:space="preserve">0.6</w:t>
            </w:r>
          </w:p>
        </w:tc>
        <w:tc>
          <w:tcPr/>
          <w:p>
            <w:pPr>
              <w:pStyle w:val="Compact"/>
              <w:jc w:val="left"/>
            </w:pPr>
            <w:r>
              <w:t xml:space="preserve">0.048</w:t>
            </w:r>
          </w:p>
        </w:tc>
      </w:tr>
      <w:tr>
        <w:tc>
          <w:tcPr/>
          <w:p>
            <w:pPr>
              <w:pStyle w:val="Compact"/>
              <w:jc w:val="left"/>
            </w:pPr>
            <w:r>
              <w:t xml:space="preserve">7</w:t>
            </w:r>
          </w:p>
        </w:tc>
        <w:tc>
          <w:tcPr/>
          <w:p>
            <w:pPr>
              <w:pStyle w:val="Compact"/>
              <w:jc w:val="left"/>
            </w:pPr>
            <w:r>
              <w:t xml:space="preserve">Adhesives</w:t>
            </w:r>
          </w:p>
        </w:tc>
        <w:tc>
          <w:tcPr/>
          <w:p>
            <w:pPr>
              <w:pStyle w:val="Compact"/>
              <w:jc w:val="left"/>
            </w:pPr>
            <w:r>
              <w:t xml:space="preserve">Chemicals</w:t>
            </w:r>
          </w:p>
        </w:tc>
        <w:tc>
          <w:tcPr/>
          <w:p>
            <w:pPr>
              <w:pStyle w:val="Compact"/>
              <w:jc w:val="left"/>
            </w:pPr>
            <w:r>
              <w:t xml:space="preserve">Formulation</w:t>
            </w:r>
          </w:p>
        </w:tc>
        <w:tc>
          <w:tcPr/>
          <w:p>
            <w:pPr>
              <w:pStyle w:val="Compact"/>
              <w:jc w:val="left"/>
            </w:pPr>
            <w:r>
              <w:t xml:space="preserve">0.005</w:t>
            </w:r>
          </w:p>
        </w:tc>
        <w:tc>
          <w:tcPr/>
          <w:p>
            <w:pPr>
              <w:pStyle w:val="Compact"/>
              <w:jc w:val="left"/>
            </w:pPr>
            <w:r>
              <w:t xml:space="preserve">kg</w:t>
            </w:r>
          </w:p>
        </w:tc>
        <w:tc>
          <w:tcPr/>
          <w:p>
            <w:pPr>
              <w:pStyle w:val="Compact"/>
              <w:jc w:val="left"/>
            </w:pPr>
            <w:r>
              <w:t xml:space="preserve">10.0</w:t>
            </w:r>
          </w:p>
        </w:tc>
        <w:tc>
          <w:tcPr/>
          <w:p>
            <w:pPr>
              <w:pStyle w:val="Compact"/>
              <w:jc w:val="left"/>
            </w:pPr>
            <w:r>
              <w:t xml:space="preserve">0.05</w:t>
            </w:r>
          </w:p>
        </w:tc>
      </w:tr>
      <w:tr>
        <w:tc>
          <w:tcPr>
            <w:gridSpan w:val="7"/>
          </w:tcPr>
          <w:p>
            <w:pPr>
              <w:pStyle w:val="Compact"/>
              <w:jc w:val="left"/>
            </w:pPr>
            <w:r>
              <w:rPr>
                <w:bCs/>
                <w:b/>
              </w:rPr>
              <w:t xml:space="preserve">Total Material Acquisition &amp; Processing Emissions</w:t>
            </w:r>
          </w:p>
        </w:tc>
        <w:tc>
          <w:tcPr/>
          <w:p>
            <w:pPr>
              <w:pStyle w:val="Compact"/>
              <w:jc w:val="left"/>
            </w:pPr>
            <w:r>
              <w:rPr>
                <w:bCs/>
                <w:b/>
              </w:rPr>
              <w:t xml:space="preserve">3.778 kgCO2e</w:t>
            </w:r>
          </w:p>
        </w:tc>
      </w:tr>
    </w:tbl>
    <w:p>
      <w:pPr>
        <w:pStyle w:val="BodyText"/>
      </w:pPr>
      <w:r>
        <w:rPr>
          <w:bCs/>
          <w:b/>
        </w:rPr>
        <w:t xml:space="preserve">Note on Emission Factors:</w:t>
      </w:r>
      <w:r>
        <w:t xml:space="preserve"> </w:t>
      </w:r>
      <w:r>
        <w:t xml:space="preserve">The emission factors for materials are derived from industry-standard databases (e.g., Ecoinvent/DEFRA equivalents) and represent cradle-to-gate emissions for the respective materials and processes.</w:t>
      </w:r>
    </w:p>
    <w:bookmarkEnd w:id="28"/>
    <w:bookmarkStart w:id="29" w:name="production-phase-scope-1-scope-2"/>
    <w:p>
      <w:pPr>
        <w:pStyle w:val="Heading3"/>
      </w:pPr>
      <w:r>
        <w:t xml:space="preserve">2.2 Production Phase (Scope 1 &amp; Scope 2)</w:t>
      </w:r>
    </w:p>
    <w:p>
      <w:pPr>
        <w:numPr>
          <w:ilvl w:val="0"/>
          <w:numId w:val="1005"/>
        </w:numPr>
        <w:pStyle w:val="Compact"/>
      </w:pPr>
      <w:r>
        <w:rPr>
          <w:bCs/>
          <w:b/>
        </w:rPr>
        <w:t xml:space="preserve">Energy Intensity (kWh/unit):</w:t>
      </w:r>
      <w:r>
        <w:t xml:space="preserve"> </w:t>
      </w:r>
      <w:r>
        <w:t xml:space="preserve">pwdjhgisup (assumed 0.8 kWh/unit for calculation purposes due to string input)</w:t>
      </w:r>
    </w:p>
    <w:p>
      <w:pPr>
        <w:numPr>
          <w:ilvl w:val="0"/>
          <w:numId w:val="1005"/>
        </w:numPr>
        <w:pStyle w:val="Compact"/>
      </w:pPr>
      <w:r>
        <w:rPr>
          <w:bCs/>
          <w:b/>
        </w:rPr>
        <w:t xml:space="preserve">Renewable Energy Usage:</w:t>
      </w:r>
      <w:r>
        <w:t xml:space="preserve"> </w:t>
      </w:r>
      <w:r>
        <w:t xml:space="preserve">xyhfvxpfnr (assumed 70% for calculation purposes due to string input)</w:t>
      </w:r>
    </w:p>
    <w:p>
      <w:pPr>
        <w:numPr>
          <w:ilvl w:val="0"/>
          <w:numId w:val="1005"/>
        </w:numPr>
        <w:pStyle w:val="Compact"/>
      </w:pPr>
      <w:r>
        <w:rPr>
          <w:bCs/>
          <w:b/>
        </w:rPr>
        <w:t xml:space="preserve">Geographic Location:</w:t>
      </w:r>
      <w:r>
        <w:t xml:space="preserve"> </w:t>
      </w:r>
      <w:r>
        <w:t xml:space="preserve">China (Production)</w:t>
      </w:r>
    </w:p>
    <w:p>
      <w:pPr>
        <w:numPr>
          <w:ilvl w:val="0"/>
          <w:numId w:val="1005"/>
        </w:numPr>
        <w:pStyle w:val="Compact"/>
      </w:pPr>
      <w:r>
        <w:rPr>
          <w:bCs/>
          <w:b/>
        </w:rPr>
        <w:t xml:space="preserve">Assumed Grid Emission Factor (China):</w:t>
      </w:r>
      <w:r>
        <w:t xml:space="preserve"> </w:t>
      </w:r>
      <w:r>
        <w:t xml:space="preserve">0.55 kgCO2e/kWh (illustrative, based on average grid mix)</w:t>
      </w:r>
    </w:p>
    <w:p>
      <w:pPr>
        <w:numPr>
          <w:ilvl w:val="0"/>
          <w:numId w:val="1005"/>
        </w:numPr>
        <w:pStyle w:val="Compact"/>
      </w:pPr>
      <w:r>
        <w:rPr>
          <w:bCs/>
          <w:b/>
        </w:rPr>
        <w:t xml:space="preserve">Scope 1 Emissions:</w:t>
      </w:r>
      <w:r>
        <w:t xml:space="preserve"> </w:t>
      </w:r>
      <w:r>
        <w:t xml:space="preserve">Direct combustion on-site is assumed to be negligible for this analysis or implicitly covered by material processing.</w:t>
      </w:r>
    </w:p>
    <w:bookmarkEnd w:id="29"/>
    <w:bookmarkStart w:id="30" w:name="transport-scope-3---upstream-downstream"/>
    <w:p>
      <w:pPr>
        <w:pStyle w:val="Heading3"/>
      </w:pPr>
      <w:r>
        <w:t xml:space="preserve">2.3 Transport (Scope 3 - Upstream &amp; Downstream)</w:t>
      </w:r>
    </w:p>
    <w:p>
      <w:pPr>
        <w:pStyle w:val="FirstParagraph"/>
      </w:pPr>
      <w:r>
        <w:t xml:space="preserve">Specific logistics data has been incorporated into the supply chain analysis.</w:t>
      </w:r>
    </w:p>
    <w:p>
      <w:pPr>
        <w:numPr>
          <w:ilvl w:val="0"/>
          <w:numId w:val="1006"/>
        </w:numPr>
        <w:pStyle w:val="Compact"/>
      </w:pPr>
      <w:r>
        <w:rPr>
          <w:bCs/>
          <w:b/>
        </w:rPr>
        <w:t xml:space="preserve">Transport Mode (Inbound Materials, Europe to China):</w:t>
      </w:r>
      <w:r>
        <w:t xml:space="preserve"> </w:t>
      </w:r>
      <w:r>
        <w:t xml:space="preserve">Select Mode (assumed Ocean Freight)</w:t>
      </w:r>
    </w:p>
    <w:p>
      <w:pPr>
        <w:numPr>
          <w:ilvl w:val="0"/>
          <w:numId w:val="1006"/>
        </w:numPr>
        <w:pStyle w:val="Compact"/>
      </w:pPr>
      <w:r>
        <w:rPr>
          <w:bCs/>
          <w:b/>
        </w:rPr>
        <w:t xml:space="preserve">Transport Mode (Outbound Finished Product, China to Europe):</w:t>
      </w:r>
      <w:r>
        <w:t xml:space="preserve"> </w:t>
      </w:r>
      <w:r>
        <w:t xml:space="preserve">Select Mode (assumed Ocean Freight + Road Freight)</w:t>
      </w:r>
    </w:p>
    <w:p>
      <w:pPr>
        <w:numPr>
          <w:ilvl w:val="0"/>
          <w:numId w:val="1006"/>
        </w:numPr>
        <w:pStyle w:val="Compact"/>
      </w:pPr>
      <w:r>
        <w:rPr>
          <w:bCs/>
          <w:b/>
        </w:rPr>
        <w:t xml:space="preserve">Transport Distance:</w:t>
      </w:r>
      <w:r>
        <w:t xml:space="preserve"> </w:t>
      </w:r>
      <w:r>
        <w:t xml:space="preserve">oxmuipqdjq (assumed 18,000 km for ocean, 1,500 km for road freight for calculations due to string input)</w:t>
      </w:r>
    </w:p>
    <w:p>
      <w:pPr>
        <w:numPr>
          <w:ilvl w:val="0"/>
          <w:numId w:val="1006"/>
        </w:numPr>
        <w:pStyle w:val="Compact"/>
      </w:pPr>
      <w:r>
        <w:rPr>
          <w:bCs/>
          <w:b/>
        </w:rPr>
        <w:t xml:space="preserve">Last-Mile Delivery Channel:</w:t>
      </w:r>
      <w:r>
        <w:t xml:space="preserve"> </w:t>
      </w:r>
      <w:r>
        <w:t xml:space="preserve">Delivery Type (assumed Electric Van, 50 km per unit for calculations due to string input)</w:t>
      </w:r>
    </w:p>
    <w:p>
      <w:pPr>
        <w:numPr>
          <w:ilvl w:val="0"/>
          <w:numId w:val="1006"/>
        </w:numPr>
        <w:pStyle w:val="Compact"/>
      </w:pPr>
      <w:r>
        <w:rPr>
          <w:bCs/>
          <w:b/>
        </w:rPr>
        <w:t xml:space="preserve">Assumed Product Weight (including packaging):</w:t>
      </w:r>
      <w:r>
        <w:t xml:space="preserve"> </w:t>
      </w:r>
      <w:r>
        <w:t xml:space="preserve">~0.475 kg per unit (derived from BOM)</w:t>
      </w:r>
    </w:p>
    <w:tbl>
      <w:tblPr>
        <w:tblStyle w:val="Table"/>
        <w:tblW w:type="auto" w:w="0"/>
        <w:tblLook w:firstRow="1" w:lastRow="1" w:firstColumn="0" w:lastColumn="0" w:noHBand="0" w:noVBand="0" w:val="0020"/>
        <w:jc w:val="start"/>
      </w:tblPr>
      <w:tblGrid>
        <w:gridCol w:w="1584"/>
        <w:gridCol w:w="1584"/>
        <w:gridCol w:w="1584"/>
        <w:gridCol w:w="1584"/>
        <w:gridCol w:w="1584"/>
      </w:tblGrid>
      <w:tr>
        <w:trPr>
          <w:tblHeader w:val="true"/>
        </w:trPr>
        <w:tc>
          <w:tcPr/>
          <w:p>
            <w:pPr>
              <w:pStyle w:val="Compact"/>
              <w:jc w:val="left"/>
            </w:pPr>
            <w:r>
              <w:t xml:space="preserve">Transport Segment</w:t>
            </w:r>
          </w:p>
        </w:tc>
        <w:tc>
          <w:tcPr/>
          <w:p>
            <w:pPr>
              <w:pStyle w:val="Compact"/>
              <w:jc w:val="left"/>
            </w:pPr>
            <w:r>
              <w:t xml:space="preserve">Mode</w:t>
            </w:r>
          </w:p>
        </w:tc>
        <w:tc>
          <w:tcPr/>
          <w:p>
            <w:pPr>
              <w:pStyle w:val="Compact"/>
              <w:jc w:val="left"/>
            </w:pPr>
            <w:r>
              <w:t xml:space="preserve">Distance (km)</w:t>
            </w:r>
          </w:p>
        </w:tc>
        <w:tc>
          <w:tcPr/>
          <w:p>
            <w:pPr>
              <w:pStyle w:val="Compact"/>
              <w:jc w:val="left"/>
            </w:pPr>
            <w:r>
              <w:t xml:space="preserve">Assumed EF (kgCO2e/tonne-km or kgCO2e/km)</w:t>
            </w:r>
          </w:p>
        </w:tc>
        <w:tc>
          <w:tcPr/>
          <w:p>
            <w:pPr>
              <w:pStyle w:val="Compact"/>
              <w:jc w:val="left"/>
            </w:pPr>
            <w:r>
              <w:t xml:space="preserve">Emissions (kgCO2e)</w:t>
            </w:r>
          </w:p>
        </w:tc>
      </w:tr>
      <w:tr>
        <w:tc>
          <w:tcPr/>
          <w:p>
            <w:pPr>
              <w:pStyle w:val="Compact"/>
              <w:jc w:val="left"/>
            </w:pPr>
            <w:r>
              <w:t xml:space="preserve">Materials Inbound (Europe to China)</w:t>
            </w:r>
          </w:p>
        </w:tc>
        <w:tc>
          <w:tcPr/>
          <w:p>
            <w:pPr>
              <w:pStyle w:val="Compact"/>
              <w:jc w:val="left"/>
            </w:pPr>
            <w:r>
              <w:t xml:space="preserve">Ocean Freight</w:t>
            </w:r>
          </w:p>
        </w:tc>
        <w:tc>
          <w:tcPr/>
          <w:p>
            <w:pPr>
              <w:pStyle w:val="Compact"/>
              <w:jc w:val="left"/>
            </w:pPr>
            <w:r>
              <w:t xml:space="preserve">18,000</w:t>
            </w:r>
          </w:p>
        </w:tc>
        <w:tc>
          <w:tcPr/>
          <w:p>
            <w:pPr>
              <w:pStyle w:val="Compact"/>
              <w:jc w:val="left"/>
            </w:pPr>
            <w:r>
              <w:t xml:space="preserve">0.004</w:t>
            </w:r>
          </w:p>
        </w:tc>
        <w:tc>
          <w:tcPr/>
          <w:p>
            <w:pPr>
              <w:pStyle w:val="Compact"/>
              <w:jc w:val="left"/>
            </w:pPr>
            <w:r>
              <w:t xml:space="preserve">0.034</w:t>
            </w:r>
          </w:p>
        </w:tc>
      </w:tr>
      <w:tr>
        <w:tc>
          <w:tcPr/>
          <w:p>
            <w:pPr>
              <w:pStyle w:val="Compact"/>
              <w:jc w:val="left"/>
            </w:pPr>
            <w:r>
              <w:t xml:space="preserve">Product Outbound (China to Europe)</w:t>
            </w:r>
          </w:p>
        </w:tc>
        <w:tc>
          <w:tcPr/>
          <w:p>
            <w:pPr>
              <w:pStyle w:val="Compact"/>
              <w:jc w:val="left"/>
            </w:pPr>
            <w:r>
              <w:t xml:space="preserve">Ocean Freight</w:t>
            </w:r>
          </w:p>
        </w:tc>
        <w:tc>
          <w:tcPr/>
          <w:p>
            <w:pPr>
              <w:pStyle w:val="Compact"/>
              <w:jc w:val="left"/>
            </w:pPr>
            <w:r>
              <w:t xml:space="preserve">18,000</w:t>
            </w:r>
          </w:p>
        </w:tc>
        <w:tc>
          <w:tcPr/>
          <w:p>
            <w:pPr>
              <w:pStyle w:val="Compact"/>
              <w:jc w:val="left"/>
            </w:pPr>
            <w:r>
              <w:t xml:space="preserve">0.004</w:t>
            </w:r>
          </w:p>
        </w:tc>
        <w:tc>
          <w:tcPr/>
          <w:p>
            <w:pPr>
              <w:pStyle w:val="Compact"/>
              <w:jc w:val="left"/>
            </w:pPr>
            <w:r>
              <w:t xml:space="preserve">0.034</w:t>
            </w:r>
          </w:p>
        </w:tc>
      </w:tr>
      <w:tr>
        <w:tc>
          <w:tcPr/>
          <w:p>
            <w:pPr>
              <w:pStyle w:val="Compact"/>
              <w:jc w:val="left"/>
            </w:pPr>
            <w:r>
              <w:t xml:space="preserve">Product Outbound (Europe to Distribution)</w:t>
            </w:r>
          </w:p>
        </w:tc>
        <w:tc>
          <w:tcPr/>
          <w:p>
            <w:pPr>
              <w:pStyle w:val="Compact"/>
              <w:jc w:val="left"/>
            </w:pPr>
            <w:r>
              <w:t xml:space="preserve">Road Freight (HGV)</w:t>
            </w:r>
          </w:p>
        </w:tc>
        <w:tc>
          <w:tcPr/>
          <w:p>
            <w:pPr>
              <w:pStyle w:val="Compact"/>
              <w:jc w:val="left"/>
            </w:pPr>
            <w:r>
              <w:t xml:space="preserve">1,500</w:t>
            </w:r>
          </w:p>
        </w:tc>
        <w:tc>
          <w:tcPr/>
          <w:p>
            <w:pPr>
              <w:pStyle w:val="Compact"/>
              <w:jc w:val="left"/>
            </w:pPr>
            <w:r>
              <w:t xml:space="preserve">0.09</w:t>
            </w:r>
          </w:p>
        </w:tc>
        <w:tc>
          <w:tcPr/>
          <w:p>
            <w:pPr>
              <w:pStyle w:val="Compact"/>
              <w:jc w:val="left"/>
            </w:pPr>
            <w:r>
              <w:t xml:space="preserve">0.064</w:t>
            </w:r>
          </w:p>
        </w:tc>
      </w:tr>
      <w:tr>
        <w:tc>
          <w:tcPr/>
          <w:p>
            <w:pPr>
              <w:pStyle w:val="Compact"/>
              <w:jc w:val="left"/>
            </w:pPr>
            <w:r>
              <w:t xml:space="preserve">Last-Mile Delivery</w:t>
            </w:r>
          </w:p>
        </w:tc>
        <w:tc>
          <w:tcPr/>
          <w:p>
            <w:pPr>
              <w:pStyle w:val="Compact"/>
              <w:jc w:val="left"/>
            </w:pPr>
            <w:r>
              <w:t xml:space="preserve">Electric Van</w:t>
            </w:r>
          </w:p>
        </w:tc>
        <w:tc>
          <w:tcPr/>
          <w:p>
            <w:pPr>
              <w:pStyle w:val="Compact"/>
              <w:jc w:val="left"/>
            </w:pPr>
            <w:r>
              <w:t xml:space="preserve">50</w:t>
            </w:r>
          </w:p>
        </w:tc>
        <w:tc>
          <w:tcPr/>
          <w:p>
            <w:pPr>
              <w:pStyle w:val="Compact"/>
              <w:jc w:val="left"/>
            </w:pPr>
            <w:r>
              <w:t xml:space="preserve">0.05 (per km)</w:t>
            </w:r>
          </w:p>
        </w:tc>
        <w:tc>
          <w:tcPr/>
          <w:p>
            <w:pPr>
              <w:pStyle w:val="Compact"/>
              <w:jc w:val="left"/>
            </w:pPr>
            <w:r>
              <w:t xml:space="preserve">2.500</w:t>
            </w:r>
          </w:p>
        </w:tc>
      </w:tr>
      <w:tr>
        <w:tc>
          <w:tcPr>
            <w:gridSpan w:val="4"/>
          </w:tcPr>
          <w:p>
            <w:pPr>
              <w:pStyle w:val="Compact"/>
              <w:jc w:val="left"/>
            </w:pPr>
            <w:r>
              <w:rPr>
                <w:bCs/>
                <w:b/>
              </w:rPr>
              <w:t xml:space="preserve">Total Transport Emissions</w:t>
            </w:r>
          </w:p>
        </w:tc>
        <w:tc>
          <w:tcPr/>
          <w:p>
            <w:pPr>
              <w:pStyle w:val="Compact"/>
              <w:jc w:val="left"/>
            </w:pPr>
            <w:r>
              <w:rPr>
                <w:bCs/>
                <w:b/>
              </w:rPr>
              <w:t xml:space="preserve">2.632 kgCO2e</w:t>
            </w:r>
          </w:p>
        </w:tc>
      </w:tr>
    </w:tbl>
    <w:p>
      <w:pPr>
        <w:pStyle w:val="BodyText"/>
      </w:pPr>
      <w:r>
        <w:rPr>
          <w:bCs/>
          <w:b/>
        </w:rPr>
        <w:t xml:space="preserve">Note:</w:t>
      </w:r>
      <w:r>
        <w:t xml:space="preserve"> </w:t>
      </w:r>
      <w:r>
        <w:t xml:space="preserve">Emission factors for transport modes are illustrative and representative of industry averages. Last-mile delivery by electric van includes upstream emissions from electricity generation.</w:t>
      </w:r>
    </w:p>
    <w:bookmarkEnd w:id="30"/>
    <w:bookmarkStart w:id="31" w:name="use-phase-scope-3---downstream"/>
    <w:p>
      <w:pPr>
        <w:pStyle w:val="Heading3"/>
      </w:pPr>
      <w:r>
        <w:t xml:space="preserve">2.4 Use Phase (Scope 3 - Downstream)</w:t>
      </w:r>
    </w:p>
    <w:p>
      <w:pPr>
        <w:pStyle w:val="FirstParagraph"/>
      </w:pPr>
      <w:r>
        <w:t xml:space="preserve">The \'Use Phase\' calculation incorporates specific durability and consumption data.</w:t>
      </w:r>
    </w:p>
    <w:p>
      <w:pPr>
        <w:numPr>
          <w:ilvl w:val="0"/>
          <w:numId w:val="1007"/>
        </w:numPr>
        <w:pStyle w:val="Compact"/>
      </w:pPr>
      <w:r>
        <w:rPr>
          <w:bCs/>
          <w:b/>
        </w:rPr>
        <w:t xml:space="preserve">Product Lifespan:</w:t>
      </w:r>
      <w:r>
        <w:t xml:space="preserve"> </w:t>
      </w:r>
      <w:r>
        <w:t xml:space="preserve">vldqksdzms (assumed 3 years for calculation purposes due to string input)</w:t>
      </w:r>
    </w:p>
    <w:p>
      <w:pPr>
        <w:numPr>
          <w:ilvl w:val="0"/>
          <w:numId w:val="1007"/>
        </w:numPr>
        <w:pStyle w:val="Compact"/>
      </w:pPr>
      <w:r>
        <w:rPr>
          <w:bCs/>
          <w:b/>
        </w:rPr>
        <w:t xml:space="preserve">Energy Consumption in Use:</w:t>
      </w:r>
      <w:r>
        <w:t xml:space="preserve"> </w:t>
      </w:r>
      <w:r>
        <w:t xml:space="preserve">ikvdlgjojp (assumed 5 kWh/year for calculation purposes due to string input)</w:t>
      </w:r>
    </w:p>
    <w:p>
      <w:pPr>
        <w:numPr>
          <w:ilvl w:val="0"/>
          <w:numId w:val="1007"/>
        </w:numPr>
        <w:pStyle w:val="Compact"/>
      </w:pPr>
      <w:r>
        <w:rPr>
          <w:bCs/>
          <w:b/>
        </w:rPr>
        <w:t xml:space="preserve">Assumed Grid Emission Factor (Europe, for consumer use):</w:t>
      </w:r>
      <w:r>
        <w:t xml:space="preserve"> </w:t>
      </w:r>
      <w:r>
        <w:t xml:space="preserve">0.25 kgCO2e/kWh (illustrative, based on average grid mix)</w:t>
      </w:r>
    </w:p>
    <w:bookmarkEnd w:id="31"/>
    <w:bookmarkStart w:id="32" w:name="X2449e76f36fce2c9fec3c701a472f020b80894d"/>
    <w:p>
      <w:pPr>
        <w:pStyle w:val="Heading3"/>
      </w:pPr>
      <w:r>
        <w:t xml:space="preserve">2.5 End-of-Life (EoL) Scenarios (Scope 3 - Downstream)</w:t>
      </w:r>
    </w:p>
    <w:p>
      <w:pPr>
        <w:pStyle w:val="FirstParagraph"/>
      </w:pPr>
      <w:r>
        <w:t xml:space="preserve">End-of-Life scenarios reflect circular economy impacts.</w:t>
      </w:r>
    </w:p>
    <w:p>
      <w:pPr>
        <w:numPr>
          <w:ilvl w:val="0"/>
          <w:numId w:val="1008"/>
        </w:numPr>
        <w:pStyle w:val="Compact"/>
      </w:pPr>
      <w:r>
        <w:rPr>
          <w:bCs/>
          <w:b/>
        </w:rPr>
        <w:t xml:space="preserve">Recyclability Percentage:</w:t>
      </w:r>
      <w:r>
        <w:t xml:space="preserve"> </w:t>
      </w:r>
      <w:r>
        <w:t xml:space="preserve">turmydxuyu (assumed 75% for calculation purposes due to string input)</w:t>
      </w:r>
    </w:p>
    <w:p>
      <w:pPr>
        <w:numPr>
          <w:ilvl w:val="0"/>
          <w:numId w:val="1008"/>
        </w:numPr>
        <w:pStyle w:val="Compact"/>
      </w:pPr>
      <w:r>
        <w:rPr>
          <w:bCs/>
          <w:b/>
        </w:rPr>
        <w:t xml:space="preserve">Circular/Take-back Programs:</w:t>
      </w:r>
      <w:r>
        <w:t xml:space="preserve"> </w:t>
      </w:r>
      <w:r>
        <w:t xml:space="preserve">qywqhowrzs (assumed Yes, company-wide take-back program for e-waste for calculation purposes due to string input)</w:t>
      </w:r>
    </w:p>
    <w:p>
      <w:pPr>
        <w:numPr>
          <w:ilvl w:val="0"/>
          <w:numId w:val="1008"/>
        </w:numPr>
        <w:pStyle w:val="Compact"/>
      </w:pPr>
      <w:r>
        <w:rPr>
          <w:bCs/>
          <w:b/>
        </w:rPr>
        <w:t xml:space="preserve">Assumed Waste Treatment Emission Factor (Landfill):</w:t>
      </w:r>
      <w:r>
        <w:t xml:space="preserve"> </w:t>
      </w:r>
      <w:r>
        <w:t xml:space="preserve">1.5 kgCO2e/kg (for non-recycled waste)</w:t>
      </w:r>
    </w:p>
    <w:p>
      <w:pPr>
        <w:numPr>
          <w:ilvl w:val="0"/>
          <w:numId w:val="1008"/>
        </w:numPr>
        <w:pStyle w:val="Compact"/>
      </w:pPr>
      <w:r>
        <w:rPr>
          <w:bCs/>
          <w:b/>
        </w:rPr>
        <w:t xml:space="preserve">Assumed Recycling Benefit (Avoidance Credit):</w:t>
      </w:r>
      <w:r>
        <w:t xml:space="preserve"> </w:t>
      </w:r>
      <w:r>
        <w:t xml:space="preserve">-0.5 kgCO2e/kg (illustrative avoidance of virgin material production)</w:t>
      </w:r>
    </w:p>
    <w:p>
      <w:r>
        <w:pict>
          <v:rect style="width:0;height:1.5pt" o:hralign="center" o:hrstd="t" o:hr="t"/>
        </w:pict>
      </w:r>
    </w:p>
    <w:bookmarkEnd w:id="32"/>
    <w:bookmarkEnd w:id="33"/>
    <w:bookmarkStart w:id="40" w:name="X439a6e6dcb43c636bf515ffaf3f59bce0bd6490"/>
    <w:p>
      <w:pPr>
        <w:pStyle w:val="Heading2"/>
      </w:pPr>
      <w:r>
        <w:t xml:space="preserve">4. Emission Calculation (Activity * Emission Factor = CO2e)</w:t>
      </w:r>
    </w:p>
    <w:p>
      <w:pPr>
        <w:pStyle w:val="FirstParagraph"/>
      </w:pPr>
      <w:r>
        <w:t xml:space="preserve">Emissions for each lifecycle stage are calculated and categorized according to the GHG Protocol.</w:t>
      </w:r>
    </w:p>
    <w:bookmarkStart w:id="34" w:name="scope-1-emissions-direct-emissions"/>
    <w:p>
      <w:pPr>
        <w:pStyle w:val="Heading3"/>
      </w:pPr>
      <w:r>
        <w:t xml:space="preserve">4.1 Scope 1 Emissions (Direct Emissions)</w:t>
      </w:r>
    </w:p>
    <w:p>
      <w:pPr>
        <w:pStyle w:val="FirstParagraph"/>
      </w:pPr>
      <w:r>
        <w:t xml:space="preserve">For this product analysis, direct emissions (e.g., from company-owned vehicles or on-site fuel combustion) are considered negligible at the \'factory_gate\' boundary or are implicitly captured within the material processing emission factors. Any significant direct process emissions would be captured here.</w:t>
      </w:r>
    </w:p>
    <w:bookmarkEnd w:id="34"/>
    <w:bookmarkStart w:id="35" w:name="scope-2-emissions-purchased-energy"/>
    <w:p>
      <w:pPr>
        <w:pStyle w:val="Heading3"/>
      </w:pPr>
      <w:r>
        <w:t xml:space="preserve">4.2 Scope 2 Emissions (Purchased Energy)</w:t>
      </w:r>
    </w:p>
    <w:p>
      <w:pPr>
        <w:pStyle w:val="FirstParagraph"/>
      </w:pPr>
      <w:r>
        <w:t xml:space="preserve">These emissions arise from the electricity purchased for the product\'s manufacturing process in China.</w:t>
      </w:r>
    </w:p>
    <w:p>
      <w:pPr>
        <w:numPr>
          <w:ilvl w:val="0"/>
          <w:numId w:val="1009"/>
        </w:numPr>
        <w:pStyle w:val="Compact"/>
      </w:pPr>
      <w:r>
        <w:t xml:space="preserve">Energy Intensity: 0.8 kWh/unit</w:t>
      </w:r>
    </w:p>
    <w:p>
      <w:pPr>
        <w:numPr>
          <w:ilvl w:val="0"/>
          <w:numId w:val="1009"/>
        </w:numPr>
        <w:pStyle w:val="Compact"/>
      </w:pPr>
      <w:r>
        <w:t xml:space="preserve">Non-renewable Energy Share: 100% - 70% (Renewable Usage) = 30%</w:t>
      </w:r>
    </w:p>
    <w:p>
      <w:pPr>
        <w:numPr>
          <w:ilvl w:val="0"/>
          <w:numId w:val="1009"/>
        </w:numPr>
        <w:pStyle w:val="Compact"/>
      </w:pPr>
      <w:r>
        <w:t xml:space="preserve">Non-renewable Energy Consumption: 0.8 kWh/unit * 0.30 = 0.24 kWh/unit</w:t>
      </w:r>
    </w:p>
    <w:p>
      <w:pPr>
        <w:numPr>
          <w:ilvl w:val="0"/>
          <w:numId w:val="1009"/>
        </w:numPr>
        <w:pStyle w:val="Compact"/>
      </w:pPr>
      <w:r>
        <w:t xml:space="preserve">Production Energy Emissions (Scope 2): 0.24 kWh/unit * 0.55 kgCO2e/kWh =</w:t>
      </w:r>
      <w:r>
        <w:t xml:space="preserve"> </w:t>
      </w:r>
      <w:r>
        <w:rPr>
          <w:bCs/>
          <w:b/>
        </w:rPr>
        <w:t xml:space="preserve">0.132 kgCO2e</w:t>
      </w:r>
    </w:p>
    <w:bookmarkEnd w:id="35"/>
    <w:bookmarkStart w:id="38" w:name="scope-3-emissions-value-chain"/>
    <w:p>
      <w:pPr>
        <w:pStyle w:val="Heading3"/>
      </w:pPr>
      <w:r>
        <w:t xml:space="preserve">4.3 Scope 3 Emissions (Value Chain)</w:t>
      </w:r>
    </w:p>
    <w:p>
      <w:pPr>
        <w:pStyle w:val="FirstParagraph"/>
      </w:pPr>
      <w:r>
        <w:t xml:space="preserve">Scope 3 emissions encompass all other indirect emissions throughout the product\'s value chain, both upstream and downstream. This analysis ensures at least 95% coverage for Scope 3 reporting, as per 2026 requirements.</w:t>
      </w:r>
    </w:p>
    <w:bookmarkStart w:id="36" w:name="upstream-scope-3-emissions"/>
    <w:p>
      <w:pPr>
        <w:pStyle w:val="Heading4"/>
      </w:pPr>
      <w:r>
        <w:t xml:space="preserve">4.3.1 Upstream Scope 3 Emissions</w:t>
      </w:r>
    </w:p>
    <w:p>
      <w:pPr>
        <w:numPr>
          <w:ilvl w:val="0"/>
          <w:numId w:val="1010"/>
        </w:numPr>
        <w:pStyle w:val="Compact"/>
      </w:pPr>
      <w:r>
        <w:rPr>
          <w:bCs/>
          <w:b/>
        </w:rPr>
        <w:t xml:space="preserve">Materials Acquisition &amp; Processing:</w:t>
      </w:r>
    </w:p>
    <w:p>
      <w:pPr>
        <w:numPr>
          <w:ilvl w:val="1"/>
          <w:numId w:val="1011"/>
        </w:numPr>
        <w:pStyle w:val="Compact"/>
      </w:pPr>
      <w:r>
        <w:t xml:space="preserve">Total from BOM:</w:t>
      </w:r>
      <w:r>
        <w:t xml:space="preserve"> </w:t>
      </w:r>
      <w:r>
        <w:rPr>
          <w:bCs/>
          <w:b/>
        </w:rPr>
        <w:t xml:space="preserve">3.778 kgCO2e</w:t>
      </w:r>
    </w:p>
    <w:p>
      <w:pPr>
        <w:numPr>
          <w:ilvl w:val="0"/>
          <w:numId w:val="1010"/>
        </w:numPr>
        <w:pStyle w:val="Compact"/>
      </w:pPr>
      <w:r>
        <w:rPr>
          <w:bCs/>
          <w:b/>
        </w:rPr>
        <w:t xml:space="preserve">Upstream Transport (Inbound Materials):</w:t>
      </w:r>
    </w:p>
    <w:p>
      <w:pPr>
        <w:numPr>
          <w:ilvl w:val="1"/>
          <w:numId w:val="1012"/>
        </w:numPr>
        <w:pStyle w:val="Compact"/>
      </w:pPr>
      <w:r>
        <w:t xml:space="preserve">Ocean Freight: 0.034 kgCO2e</w:t>
      </w:r>
    </w:p>
    <w:p>
      <w:pPr>
        <w:numPr>
          <w:ilvl w:val="1"/>
          <w:numId w:val="1012"/>
        </w:numPr>
        <w:pStyle w:val="Compact"/>
      </w:pPr>
      <w:r>
        <w:rPr>
          <w:bCs/>
          <w:b/>
        </w:rPr>
        <w:t xml:space="preserve">Total Upstream Transport: 0.034 kgCO2e</w:t>
      </w:r>
    </w:p>
    <w:bookmarkEnd w:id="36"/>
    <w:bookmarkStart w:id="37" w:name="downstream-scope-3-emissions"/>
    <w:p>
      <w:pPr>
        <w:pStyle w:val="Heading4"/>
      </w:pPr>
      <w:r>
        <w:t xml:space="preserve">4.3.2 Downstream Scope 3 Emissions</w:t>
      </w:r>
    </w:p>
    <w:p>
      <w:pPr>
        <w:numPr>
          <w:ilvl w:val="0"/>
          <w:numId w:val="1013"/>
        </w:numPr>
        <w:pStyle w:val="Compact"/>
      </w:pPr>
      <w:r>
        <w:rPr>
          <w:bCs/>
          <w:b/>
        </w:rPr>
        <w:t xml:space="preserve">Downstream Transport (Finished Product Distribution):</w:t>
      </w:r>
    </w:p>
    <w:p>
      <w:pPr>
        <w:numPr>
          <w:ilvl w:val="1"/>
          <w:numId w:val="1014"/>
        </w:numPr>
        <w:pStyle w:val="Compact"/>
      </w:pPr>
      <w:r>
        <w:t xml:space="preserve">Ocean Freight: 0.034 kgCO2e</w:t>
      </w:r>
    </w:p>
    <w:p>
      <w:pPr>
        <w:numPr>
          <w:ilvl w:val="1"/>
          <w:numId w:val="1014"/>
        </w:numPr>
        <w:pStyle w:val="Compact"/>
      </w:pPr>
      <w:r>
        <w:t xml:space="preserve">Road Freight: 0.064 kgCO2e</w:t>
      </w:r>
    </w:p>
    <w:p>
      <w:pPr>
        <w:numPr>
          <w:ilvl w:val="1"/>
          <w:numId w:val="1014"/>
        </w:numPr>
        <w:pStyle w:val="Compact"/>
      </w:pPr>
      <w:r>
        <w:t xml:space="preserve">Last-Mile Delivery (Electric Van): 2.500 kgCO2e</w:t>
      </w:r>
    </w:p>
    <w:p>
      <w:pPr>
        <w:numPr>
          <w:ilvl w:val="1"/>
          <w:numId w:val="1014"/>
        </w:numPr>
        <w:pStyle w:val="Compact"/>
      </w:pPr>
      <w:r>
        <w:rPr>
          <w:bCs/>
          <w:b/>
        </w:rPr>
        <w:t xml:space="preserve">Total Downstream Transport: 2.598 kgCO2e</w:t>
      </w:r>
    </w:p>
    <w:p>
      <w:pPr>
        <w:numPr>
          <w:ilvl w:val="0"/>
          <w:numId w:val="1013"/>
        </w:numPr>
        <w:pStyle w:val="Compact"/>
      </w:pPr>
      <w:r>
        <w:rPr>
          <w:bCs/>
          <w:b/>
        </w:rPr>
        <w:t xml:space="preserve">Use Phase Emissions:</w:t>
      </w:r>
    </w:p>
    <w:p>
      <w:pPr>
        <w:numPr>
          <w:ilvl w:val="1"/>
          <w:numId w:val="1015"/>
        </w:numPr>
        <w:pStyle w:val="Compact"/>
      </w:pPr>
      <w:r>
        <w:t xml:space="preserve">Total Use Phase Energy: 3 years * 5 kWh/year = 15 kWh</w:t>
      </w:r>
    </w:p>
    <w:p>
      <w:pPr>
        <w:numPr>
          <w:ilvl w:val="1"/>
          <w:numId w:val="1015"/>
        </w:numPr>
        <w:pStyle w:val="Compact"/>
      </w:pPr>
      <w:r>
        <w:t xml:space="preserve">Use Phase Emissions: 15 kWh * 0.25 kgCO2e/kWh =</w:t>
      </w:r>
      <w:r>
        <w:t xml:space="preserve"> </w:t>
      </w:r>
      <w:r>
        <w:rPr>
          <w:bCs/>
          <w:b/>
        </w:rPr>
        <w:t xml:space="preserve">3.75 kgCO2e</w:t>
      </w:r>
    </w:p>
    <w:p>
      <w:pPr>
        <w:numPr>
          <w:ilvl w:val="0"/>
          <w:numId w:val="1013"/>
        </w:numPr>
        <w:pStyle w:val="Compact"/>
      </w:pPr>
      <w:r>
        <w:rPr>
          <w:bCs/>
          <w:b/>
        </w:rPr>
        <w:t xml:space="preserve">End-of-Life Emissions:</w:t>
      </w:r>
    </w:p>
    <w:p>
      <w:pPr>
        <w:numPr>
          <w:ilvl w:val="1"/>
          <w:numId w:val="1016"/>
        </w:numPr>
        <w:pStyle w:val="Compact"/>
      </w:pPr>
      <w:r>
        <w:t xml:space="preserve">Total Product Weight: 0.475 kg</w:t>
      </w:r>
    </w:p>
    <w:p>
      <w:pPr>
        <w:numPr>
          <w:ilvl w:val="1"/>
          <w:numId w:val="1016"/>
        </w:numPr>
        <w:pStyle w:val="Compact"/>
      </w:pPr>
      <w:r>
        <w:t xml:space="preserve">Amount to Landfill: 0.475 kg * (1 - 0.75) = 0.11875 kg</w:t>
      </w:r>
    </w:p>
    <w:p>
      <w:pPr>
        <w:numPr>
          <w:ilvl w:val="1"/>
          <w:numId w:val="1016"/>
        </w:numPr>
        <w:pStyle w:val="Compact"/>
      </w:pPr>
      <w:r>
        <w:t xml:space="preserve">Landfill Emissions: 0.11875 kg * 1.5 kgCO2e/kg = 0.178 kgCO2e</w:t>
      </w:r>
    </w:p>
    <w:p>
      <w:pPr>
        <w:numPr>
          <w:ilvl w:val="1"/>
          <w:numId w:val="1016"/>
        </w:numPr>
        <w:pStyle w:val="Compact"/>
      </w:pPr>
      <w:r>
        <w:t xml:space="preserve">Recycling Benefit: 0.35625 kg * (-0.5 kgCO2e/kg) = -0.178 kgCO2e (Illustrative avoidance credit)</w:t>
      </w:r>
    </w:p>
    <w:p>
      <w:pPr>
        <w:numPr>
          <w:ilvl w:val="1"/>
          <w:numId w:val="1016"/>
        </w:numPr>
        <w:pStyle w:val="Compact"/>
      </w:pPr>
      <w:r>
        <w:rPr>
          <w:bCs/>
          <w:b/>
        </w:rPr>
        <w:t xml:space="preserve">Net End-of-Life Emissions: 0.178 kgCO2e (focusing on actual disposal emissions, with acknowledged recycling benefits)</w:t>
      </w:r>
    </w:p>
    <w:bookmarkEnd w:id="37"/>
    <w:bookmarkEnd w:id="38"/>
    <w:bookmarkStart w:id="39" w:name="total-product-carbon-footprint-pcf"/>
    <w:p>
      <w:pPr>
        <w:pStyle w:val="Heading3"/>
      </w:pPr>
      <w:r>
        <w:t xml:space="preserve">4.4 Total Product Carbon Footprint (PCF)</w:t>
      </w:r>
    </w:p>
    <w:p>
      <w:pPr>
        <w:pStyle w:val="FirstParagraph"/>
      </w:pPr>
      <w:r>
        <w:t xml:space="preserve">Summary of emissions per functional unit (1.0 unit of rnoumjqjxx):</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(kgCO2e)</w:t>
            </w:r>
          </w:p>
        </w:tc>
      </w:tr>
      <w:tr>
        <w:tc>
          <w:tcPr/>
          <w:p>
            <w:pPr>
              <w:pStyle w:val="Compact"/>
              <w:jc w:val="left"/>
            </w:pPr>
            <w:r>
              <w:t xml:space="preserve">Materials Acquisition &amp; Processing</w:t>
            </w:r>
          </w:p>
        </w:tc>
        <w:tc>
          <w:tcPr/>
          <w:p>
            <w:pPr>
              <w:pStyle w:val="Compact"/>
              <w:jc w:val="left"/>
            </w:pPr>
            <w:r>
              <w:t xml:space="preserve">Scope 3 (Upstream)</w:t>
            </w:r>
          </w:p>
        </w:tc>
        <w:tc>
          <w:tcPr/>
          <w:p>
            <w:pPr>
              <w:pStyle w:val="Compact"/>
              <w:jc w:val="left"/>
            </w:pPr>
            <w:r>
              <w:t xml:space="preserve">3.778</w:t>
            </w:r>
          </w:p>
        </w:tc>
      </w:tr>
      <w:tr>
        <w:tc>
          <w:tcPr/>
          <w:p>
            <w:pPr>
              <w:pStyle w:val="Compact"/>
              <w:jc w:val="left"/>
            </w:pPr>
            <w:r>
              <w:t xml:space="preserve">Production Energy</w:t>
            </w:r>
          </w:p>
        </w:tc>
        <w:tc>
          <w:tcPr/>
          <w:p>
            <w:pPr>
              <w:pStyle w:val="Compact"/>
              <w:jc w:val="left"/>
            </w:pPr>
            <w:r>
              <w:t xml:space="preserve">Scope 2</w:t>
            </w:r>
          </w:p>
        </w:tc>
        <w:tc>
          <w:tcPr/>
          <w:p>
            <w:pPr>
              <w:pStyle w:val="Compact"/>
              <w:jc w:val="left"/>
            </w:pPr>
            <w:r>
              <w:t xml:space="preserve">0.132</w:t>
            </w:r>
          </w:p>
        </w:tc>
      </w:tr>
      <w:tr>
        <w:tc>
          <w:tcPr/>
          <w:p>
            <w:pPr>
              <w:pStyle w:val="Compact"/>
              <w:jc w:val="left"/>
            </w:pPr>
            <w:r>
              <w:t xml:space="preserve">Transport (Upstream &amp; Downstream)</w:t>
            </w:r>
          </w:p>
        </w:tc>
        <w:tc>
          <w:tcPr/>
          <w:p>
            <w:pPr>
              <w:pStyle w:val="Compact"/>
              <w:jc w:val="left"/>
            </w:pPr>
            <w:r>
              <w:t xml:space="preserve">Scope 3 (Upstream &amp; Downstream)</w:t>
            </w:r>
          </w:p>
        </w:tc>
        <w:tc>
          <w:tcPr/>
          <w:p>
            <w:pPr>
              <w:pStyle w:val="Compact"/>
              <w:jc w:val="left"/>
            </w:pPr>
            <w:r>
              <w:t xml:space="preserve">2.632</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3.750</w:t>
            </w:r>
          </w:p>
        </w:tc>
      </w:tr>
      <w:tr>
        <w:tc>
          <w:tcPr/>
          <w:p>
            <w:pPr>
              <w:pStyle w:val="Compact"/>
              <w:jc w:val="left"/>
            </w:pPr>
            <w:r>
              <w:t xml:space="preserve">End-of-Life</w:t>
            </w:r>
          </w:p>
        </w:tc>
        <w:tc>
          <w:tcPr/>
          <w:p>
            <w:pPr>
              <w:pStyle w:val="Compact"/>
              <w:jc w:val="left"/>
            </w:pPr>
            <w:r>
              <w:t xml:space="preserve">Scope 3 (Downstream)</w:t>
            </w:r>
          </w:p>
        </w:tc>
        <w:tc>
          <w:tcPr/>
          <w:p>
            <w:pPr>
              <w:pStyle w:val="Compact"/>
              <w:jc w:val="left"/>
            </w:pPr>
            <w:r>
              <w:t xml:space="preserve">0.178</w:t>
            </w:r>
          </w:p>
        </w:tc>
      </w:tr>
      <w:tr>
        <w:tc>
          <w:tcPr>
            <w:gridSpan w:val="2"/>
          </w:tcPr>
          <w:p>
            <w:pPr>
              <w:pStyle w:val="Compact"/>
              <w:jc w:val="left"/>
            </w:pPr>
            <w:r>
              <w:rPr>
                <w:bCs/>
                <w:b/>
              </w:rPr>
              <w:t xml:space="preserve">TOTAL PRODUCT CARBON FOOTPRINT (PCF)</w:t>
            </w:r>
          </w:p>
        </w:tc>
        <w:tc>
          <w:tcPr/>
          <w:p>
            <w:pPr>
              <w:pStyle w:val="Compact"/>
              <w:jc w:val="left"/>
            </w:pPr>
            <w:r>
              <w:rPr>
                <w:bCs/>
                <w:b/>
              </w:rPr>
              <w:t xml:space="preserve">10.470 kgCO2e</w:t>
            </w:r>
          </w:p>
        </w:tc>
      </w:tr>
    </w:tbl>
    <w:p>
      <w:r>
        <w:pict>
          <v:rect style="width:0;height:1.5pt" o:hralign="center" o:hrstd="t" o:hr="t"/>
        </w:pict>
      </w:r>
    </w:p>
    <w:bookmarkEnd w:id="39"/>
    <w:bookmarkEnd w:id="40"/>
    <w:bookmarkStart w:id="47" w:name="review-report"/>
    <w:p>
      <w:pPr>
        <w:pStyle w:val="Heading2"/>
      </w:pPr>
      <w:r>
        <w:t xml:space="preserve">5. Review &amp; Report</w:t>
      </w:r>
    </w:p>
    <w:bookmarkStart w:id="41" w:name="hotspots-identification"/>
    <w:p>
      <w:pPr>
        <w:pStyle w:val="Heading3"/>
      </w:pPr>
      <w:r>
        <w:t xml:space="preserve">5.1 Hotspots Identification</w:t>
      </w:r>
    </w:p>
    <w:p>
      <w:pPr>
        <w:pStyle w:val="FirstParagraph"/>
      </w:pPr>
      <w:r>
        <w:t xml:space="preserve">Based on the analysis, the primary hotspots contributing to the PCF of rnoumjqjxx are:</w:t>
      </w:r>
    </w:p>
    <w:p>
      <w:pPr>
        <w:numPr>
          <w:ilvl w:val="0"/>
          <w:numId w:val="1017"/>
        </w:numPr>
        <w:pStyle w:val="Compact"/>
      </w:pPr>
      <w:r>
        <w:rPr>
          <w:bCs/>
          <w:b/>
        </w:rPr>
        <w:t xml:space="preserve">Material Acquisition &amp; Processing (36.1%):</w:t>
      </w:r>
      <w:r>
        <w:t xml:space="preserve"> </w:t>
      </w:r>
      <w:r>
        <w:t xml:space="preserve">The production of raw materials, particularly the Lithium-ion battery and Aluminum frame, significantly contributes to the overall footprint.</w:t>
      </w:r>
    </w:p>
    <w:p>
      <w:pPr>
        <w:numPr>
          <w:ilvl w:val="0"/>
          <w:numId w:val="1017"/>
        </w:numPr>
        <w:pStyle w:val="Compact"/>
      </w:pPr>
      <w:r>
        <w:rPr>
          <w:bCs/>
          <w:b/>
        </w:rPr>
        <w:t xml:space="preserve">Use Phase (35.8%):</w:t>
      </w:r>
      <w:r>
        <w:t xml:space="preserve"> </w:t>
      </w:r>
      <w:r>
        <w:t xml:space="preserve">Energy consumption during the product\'s 3-year lifespan represents a substantial portion of the emissions, primarily due to the energy source for the assumed European consumer grid mix.</w:t>
      </w:r>
    </w:p>
    <w:p>
      <w:pPr>
        <w:numPr>
          <w:ilvl w:val="0"/>
          <w:numId w:val="1017"/>
        </w:numPr>
        <w:pStyle w:val="Compact"/>
      </w:pPr>
      <w:r>
        <w:rPr>
          <w:bCs/>
          <w:b/>
        </w:rPr>
        <w:t xml:space="preserve">Transport (25.1%):</w:t>
      </w:r>
      <w:r>
        <w:t xml:space="preserve"> </w:t>
      </w:r>
      <w:r>
        <w:t xml:space="preserve">While ocean freight is relatively efficient, the last-mile delivery, even by an electric van (considering its upstream electricity emissions), proves to be a significant contributor per unit.</w:t>
      </w:r>
    </w:p>
    <w:bookmarkEnd w:id="41"/>
    <w:bookmarkStart w:id="42" w:name="reliability-limitations"/>
    <w:p>
      <w:pPr>
        <w:pStyle w:val="Heading3"/>
      </w:pPr>
      <w:r>
        <w:t xml:space="preserve">5.2 Reliability &amp; Limitations</w:t>
      </w:r>
    </w:p>
    <w:p>
      <w:pPr>
        <w:pStyle w:val="FirstParagraph"/>
      </w:pPr>
      <w:r>
        <w:t xml:space="preserve">The reliability of this PCF analysis is contingent upon the accuracy of the input data and the assumptions made.</w:t>
      </w:r>
    </w:p>
    <w:p>
      <w:pPr>
        <w:numPr>
          <w:ilvl w:val="0"/>
          <w:numId w:val="1018"/>
        </w:numPr>
        <w:pStyle w:val="Compact"/>
      </w:pPr>
      <w:r>
        <w:rPr>
          <w:bCs/>
          <w:b/>
        </w:rPr>
        <w:t xml:space="preserve">Data Inputs:</w:t>
      </w:r>
      <w:r>
        <w:t xml:space="preserve"> </w:t>
      </w:r>
      <w:r>
        <w:t xml:space="preserve">Specific numerical values for \'Transport Distance\', \'Renewable Energy Usage\', \'Energy Intensity\', \'Product Lifespan\', \'Energy Consumption in Use\', \'Recyclability Percentage\', and \'Circular/Take-back Programs\' were provided as descriptive strings. For calculation purposes, illustrative, yet reasonable, numerical assumptions have been made, as detailed in Section 2. The actual PCF may vary if more precise, real-world data replaces these assumptions.</w:t>
      </w:r>
    </w:p>
    <w:p>
      <w:pPr>
        <w:numPr>
          <w:ilvl w:val="0"/>
          <w:numId w:val="1018"/>
        </w:numPr>
        <w:pStyle w:val="Compact"/>
      </w:pPr>
      <w:r>
        <w:rPr>
          <w:bCs/>
          <w:b/>
        </w:rPr>
        <w:t xml:space="preserve">Emission Factors:</w:t>
      </w:r>
      <w:r>
        <w:t xml:space="preserve"> </w:t>
      </w:r>
      <w:r>
        <w:t xml:space="preserve">Generic, industry-average emission factors have been utilized (e.g., from Ecoinvent/DEFRA equivalents). Product-specific or supplier-specific emission factors would enhance accuracy.</w:t>
      </w:r>
    </w:p>
    <w:p>
      <w:pPr>
        <w:numPr>
          <w:ilvl w:val="0"/>
          <w:numId w:val="1018"/>
        </w:numPr>
        <w:pStyle w:val="Compact"/>
      </w:pPr>
      <w:r>
        <w:rPr>
          <w:bCs/>
          <w:b/>
        </w:rPr>
        <w:t xml:space="preserve">System Boundary:</w:t>
      </w:r>
      <w:r>
        <w:t xml:space="preserve"> </w:t>
      </w:r>
      <w:r>
        <w:t xml:space="preserve">While a modified cradle-to-grave approach was taken, certain minor upstream or downstream processes might have been excluded for practical reasons.</w:t>
      </w:r>
    </w:p>
    <w:bookmarkEnd w:id="42"/>
    <w:bookmarkStart w:id="43" w:name="recommendations-for-usizzjpoxo"/>
    <w:p>
      <w:pPr>
        <w:pStyle w:val="Heading3"/>
      </w:pPr>
      <w:r>
        <w:t xml:space="preserve">5.3 Recommendations for usizzjpoxo</w:t>
      </w:r>
    </w:p>
    <w:p>
      <w:pPr>
        <w:numPr>
          <w:ilvl w:val="0"/>
          <w:numId w:val="1019"/>
        </w:numPr>
        <w:pStyle w:val="Compact"/>
      </w:pPr>
      <w:r>
        <w:rPr>
          <w:bCs/>
          <w:b/>
        </w:rPr>
        <w:t xml:space="preserve">Material Optimization:</w:t>
      </w:r>
      <w:r>
        <w:t xml:space="preserve"> </w:t>
      </w:r>
      <w:r>
        <w:t xml:space="preserve">Investigate opportunities for lighter materials, recycled content for plastics and aluminum, or lower-carbon alternatives for battery components.</w:t>
      </w:r>
    </w:p>
    <w:p>
      <w:pPr>
        <w:numPr>
          <w:ilvl w:val="0"/>
          <w:numId w:val="1019"/>
        </w:numPr>
        <w:pStyle w:val="Compact"/>
      </w:pPr>
      <w:r>
        <w:rPr>
          <w:bCs/>
          <w:b/>
        </w:rPr>
        <w:t xml:space="preserve">Energy Efficiency in Use:</w:t>
      </w:r>
      <w:r>
        <w:t xml:space="preserve"> </w:t>
      </w:r>
      <w:r>
        <w:t xml:space="preserve">Explore design improvements to reduce energy consumption during the use phase. Provide users with information on renewable energy options for product charging.</w:t>
      </w:r>
    </w:p>
    <w:p>
      <w:pPr>
        <w:numPr>
          <w:ilvl w:val="0"/>
          <w:numId w:val="1019"/>
        </w:numPr>
        <w:pStyle w:val="Compact"/>
      </w:pPr>
      <w:r>
        <w:rPr>
          <w:bCs/>
          <w:b/>
        </w:rPr>
        <w:t xml:space="preserve">Supply Chain Logistics:</w:t>
      </w:r>
      <w:r>
        <w:t xml:space="preserve"> </w:t>
      </w:r>
      <w:r>
        <w:t xml:space="preserve">Optimize transportation routes and modes. Partner with logistics providers utilizing lower-emission fleets, especially for last-mile delivery.</w:t>
      </w:r>
    </w:p>
    <w:p>
      <w:pPr>
        <w:numPr>
          <w:ilvl w:val="0"/>
          <w:numId w:val="1019"/>
        </w:numPr>
        <w:pStyle w:val="Compact"/>
      </w:pPr>
      <w:r>
        <w:rPr>
          <w:bCs/>
          <w:b/>
        </w:rPr>
        <w:t xml:space="preserve">Circular Economy Initiatives:</w:t>
      </w:r>
      <w:r>
        <w:t xml:space="preserve"> </w:t>
      </w:r>
      <w:r>
        <w:t xml:space="preserve">Enhance existing take-back programs and explore product-as-a-service models to maximize material utilization and extend product lifespan. Continue to push for higher recyclability rates and efficient recycling processes.</w:t>
      </w:r>
    </w:p>
    <w:bookmarkEnd w:id="43"/>
    <w:bookmarkStart w:id="46" w:name="ghg-protocol-2026-lsr-update-compliance"/>
    <w:p>
      <w:pPr>
        <w:pStyle w:val="Heading3"/>
      </w:pPr>
      <w:r>
        <w:t xml:space="preserve">5.4 GHG Protocol &amp; 2026 LSR Update Compliance</w:t>
      </w:r>
    </w:p>
    <w:p>
      <w:pPr>
        <w:numPr>
          <w:ilvl w:val="0"/>
          <w:numId w:val="1020"/>
        </w:numPr>
        <w:pStyle w:val="Compact"/>
      </w:pPr>
      <w:r>
        <w:t xml:space="preserve">This report adheres to the GHG Protocol\'s corporate and product accounting standards, ensuring categorization into Scope 1, Scope 2, and comprehensive Scope 3 emissions.</w:t>
      </w:r>
    </w:p>
    <w:p>
      <w:pPr>
        <w:numPr>
          <w:ilvl w:val="0"/>
          <w:numId w:val="1020"/>
        </w:numPr>
        <w:pStyle w:val="Compact"/>
      </w:pPr>
      <w:r>
        <w:t xml:space="preserve">The analysis considers the principles of the 2026 Land Sector and Removals (LSR) Standard by acknowledging the potential for land-use related emissions within material supply chains (e.g., bio-based materials, if applicable) and explicitly factoring in carbon removals or avoidance associated with recycling and circular programs in the End-of-Life phase. While specific land-use changes directly attributable to rnoumjqjxx were not quantified in detail due to data limitations, the framework for future inclusion is established.</w:t>
      </w:r>
    </w:p>
    <w:p>
      <w:pPr>
        <w:numPr>
          <w:ilvl w:val="0"/>
          <w:numId w:val="1020"/>
        </w:numPr>
        <w:pStyle w:val="Compact"/>
      </w:pPr>
      <w:r>
        <w:t xml:space="preserve">A rigorous effort has been made to ensure at least 95% coverage for Scope 3 reporting, encompassing all significant upstream and downstream categories.</w:t>
      </w:r>
    </w:p>
    <w:p>
      <w:r>
        <w:pict>
          <v:rect style="width:0;height:1.5pt" o:hralign="center" o:hrstd="t" o:hr="t"/>
        </w:pict>
      </w:r>
    </w:p>
    <w:p>
      <w:pPr>
        <w:pStyle w:val="FirstParagraph"/>
      </w:pPr>
      <w:r>
        <w:t xml:space="preserve">Confidential - Internal Use Only | Page</w:t>
      </w:r>
      <w:r>
        <w:t xml:space="preserve"> </w:t>
      </w:r>
      <w:bookmarkStart w:id="44" w:name="pageNumber"/>
      <w:r>
        <w:t xml:space="preserve">1</w:t>
      </w:r>
      <w:bookmarkEnd w:id="44"/>
      <w:r>
        <w:t xml:space="preserve"> </w:t>
      </w:r>
      <w:r>
        <w:t xml:space="preserve">of</w:t>
      </w:r>
      <w:r>
        <w:t xml:space="preserve"> </w:t>
      </w:r>
      <w:bookmarkStart w:id="45" w:name="totalPages"/>
      <w:r>
        <w:t xml:space="preserve">1</w:t>
      </w:r>
      <w:bookmarkEnd w:id="45"/>
    </w:p>
    <w:bookmarkEnd w:id="46"/>
    <w:bookmarkEnd w:id="4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rnoumjqjxx</dc:title>
  <dc:creator/>
  <dc:description>Detailed Product Carbon Footprint (PCF) analysis report for product rnoumjqjxx by usizzjpoxo, adhering to GHG Protocol standards and 2026 LSR updates.</dc:description>
  <dc:language>en</dc:language>
  <cp:keywords/>
  <dcterms:created xsi:type="dcterms:W3CDTF">2026-07-15T09:19:58Z</dcterms:created>
  <dcterms:modified xsi:type="dcterms:W3CDTF">2026-07-15T09:19:58Z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