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rlttdgtmww</w:t>
      </w:r>
      <w:r>
        <w:t xml:space="preserve"> </w:t>
      </w:r>
      <w:r>
        <w:t xml:space="preserve">-</w:t>
      </w:r>
      <w:r>
        <w:t xml:space="preserve"> </w:t>
      </w:r>
      <w:r>
        <w:t xml:space="preserve">xkyinxdkvx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rlttdgtmww</w:t>
      </w:r>
    </w:p>
    <w:p>
      <w:pPr>
        <w:pStyle w:val="BodyText"/>
      </w:pPr>
      <w:r>
        <w:rPr>
          <w:bCs/>
          <w:b/>
        </w:rPr>
        <w:t xml:space="preserve">Name of the Company:</w:t>
      </w:r>
      <w:r>
        <w:t xml:space="preserve"> </w:t>
      </w:r>
      <w:r>
        <w:t xml:space="preserve">xkyinxdkvx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mmtvhfehmo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Date: May 20, 2026</w:t>
      </w:r>
    </w:p>
    <w:p>
      <w:pPr>
        <w:pStyle w:val="BodyText"/>
      </w:pPr>
      <w:r>
        <w:t xml:space="preserve">Disclaimer: This report is generated based on available data and industry standards. While efforts have been made to ensure accuracy,</w:t>
      </w:r>
      <w:r>
        <w:t xml:space="preserve"> </w:t>
      </w:r>
      <w:r>
        <w:t xml:space="preserve">the calculations rely on the provided parameters and general emission factors.</w:t>
      </w:r>
      <w:r>
        <w:t xml:space="preserve"> </w:t>
      </w:r>
      <w:r>
        <w:t xml:space="preserve">Actual emissions may vary based on more granular, primary data not available at the time of this report.</w:t>
      </w:r>
    </w:p>
    <w:bookmarkEnd w:id="20"/>
    <w:bookmarkStart w:id="21" w:name="Xe6cda77f608f127e7bf0495c54136ba44730184"/>
    <w:p>
      <w:pPr>
        <w:pStyle w:val="Heading1"/>
      </w:pPr>
      <w:r>
        <w:t xml:space="preserve">Product Carbon Footprint Report for rlttdgtmww</w:t>
      </w:r>
    </w:p>
    <w:p>
      <w:pPr>
        <w:pStyle w:val="FirstParagraph"/>
      </w:pPr>
      <w:r>
        <w:t xml:space="preserve">Generated Date: May 20, 2026</w:t>
      </w:r>
    </w:p>
    <w:p>
      <w:r>
        <w:pict>
          <v:rect style="width:0;height:1.5pt" o:hralign="center" o:hrstd="t" o:hr="t"/>
        </w:pic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rlttdgtmww</w:t>
      </w:r>
      <w:r>
        <w:t xml:space="preserve">,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xkyinxdkvx</w:t>
      </w:r>
      <w:r>
        <w:t xml:space="preserve">. The analysis was conducted by Senior Sustainability Consultant</w:t>
      </w:r>
      <w:r>
        <w:t xml:space="preserve"> </w:t>
      </w:r>
      <w:r>
        <w:rPr>
          <w:bCs/>
          <w:b/>
        </w:rPr>
        <w:t xml:space="preserve">mmtvhfehmo</w:t>
      </w:r>
      <w:r>
        <w:t xml:space="preserve">,</w:t>
      </w:r>
      <w:r>
        <w:t xml:space="preserve"> </w:t>
      </w:r>
      <w:r>
        <w:t xml:space="preserve">adhering strictly to the GHG Protocol for Greenhouse Gas emission accounting. The functional unit is defined as</w:t>
      </w:r>
      <w:r>
        <w:t xml:space="preserve"> </w:t>
      </w:r>
      <w:r>
        <w:t xml:space="preserve">1.0 unit of the product. This assessment encompasses the entire lifecycle from raw material acquisition to</w:t>
      </w:r>
      <w:r>
        <w:t xml:space="preserve"> </w:t>
      </w:r>
      <w:r>
        <w:t xml:space="preserve">end-of-life, with a "factory-gate" system boundary for direct operations and a supply chain</w:t>
      </w:r>
      <w:r>
        <w:t xml:space="preserve"> </w:t>
      </w:r>
      <w:r>
        <w:t xml:space="preserve">focused on Europe for upstream activities, while final production is in China. The product\'s use phase</w:t>
      </w:r>
      <w:r>
        <w:t xml:space="preserve"> </w:t>
      </w:r>
      <w:r>
        <w:t xml:space="preserve">is assumed to occur within the European market.</w:t>
      </w:r>
      <w:r>
        <w:t xml:space="preserve"> </w:t>
      </w:r>
      <w:r>
        <w:t xml:space="preserve">Key findings highlight the use phase and material production as significant contributors to the overall footprint.</w:t>
      </w:r>
    </w:p>
    <w:p>
      <w:r>
        <w:pict>
          <v:rect style="width:0;height:1.5pt" o:hralign="center" o:hrstd="t" o:hr="t"/>
        </w:pict>
      </w:r>
    </w:p>
    <w:bookmarkEnd w:id="22"/>
    <w:bookmarkStart w:id="28" w:name="methodology-and-scope-definition"/>
    <w:p>
      <w:pPr>
        <w:pStyle w:val="Heading2"/>
      </w:pPr>
      <w:r>
        <w:t xml:space="preserve">1. Methodology and Scope Definition</w:t>
      </w:r>
    </w:p>
    <w:bookmarkStart w:id="23" w:name="functional-unit"/>
    <w:p>
      <w:pPr>
        <w:pStyle w:val="Heading3"/>
      </w:pPr>
      <w:r>
        <w:t xml:space="preserve">1.1. Functional Unit</w:t>
      </w:r>
    </w:p>
    <w:p>
      <w:pPr>
        <w:pStyle w:val="FirstParagraph"/>
      </w:pPr>
      <w:r>
        <w:t xml:space="preserve">The functional unit for this Product Carbon Footprint (PCF) analysis is defined as</w:t>
      </w:r>
      <w:r>
        <w:t xml:space="preserve"> </w:t>
      </w:r>
      <w:r>
        <w:rPr>
          <w:bCs/>
          <w:b/>
        </w:rPr>
        <w:t xml:space="preserve">1.0 unit</w:t>
      </w:r>
      <w:r>
        <w:t xml:space="preserve"> </w:t>
      </w:r>
      <w:r>
        <w:t xml:space="preserve">of the product rlttdgtmww.</w:t>
      </w:r>
      <w:r>
        <w:t xml:space="preserve"> </w:t>
      </w:r>
      <w:r>
        <w:t xml:space="preserve">This unit serves as the reference basis for all quantitative calculations and comparisons.</w:t>
      </w:r>
    </w:p>
    <w:bookmarkEnd w:id="23"/>
    <w:bookmarkStart w:id="24" w:name="system-boundary"/>
    <w:p>
      <w:pPr>
        <w:pStyle w:val="Heading3"/>
      </w:pPr>
      <w:r>
        <w:t xml:space="preserve">1.2. System Boundary</w:t>
      </w:r>
    </w:p>
    <w:p>
      <w:pPr>
        <w:pStyle w:val="FirstParagraph"/>
      </w:pPr>
      <w:r>
        <w:t xml:space="preserve">The system boundary adopted for this PCF analysis is "factory_gate" for direct operational control, extended to a full</w:t>
      </w:r>
      <w:r>
        <w:t xml:space="preserve"> </w:t>
      </w:r>
      <w:r>
        <w:t xml:space="preserve">"Cradle-to-Grave" approach encompassing all lifecycle stages: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Upstream (Scope 3 - Category 1 &amp; 4):</w:t>
      </w:r>
      <w:r>
        <w:t xml:space="preserve"> </w:t>
      </w:r>
      <w:r>
        <w:t xml:space="preserve">Raw material acquisition and pre-processing, inbound transportation.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Core (Scope 1 &amp; 2, partially Scope 3):</w:t>
      </w:r>
      <w:r>
        <w:t xml:space="preserve"> </w:t>
      </w:r>
      <w:r>
        <w:t xml:space="preserve">Manufacturing at the final production facility (factory_gate).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Downstream (Scope 3 - Category 9, 11 &amp; 12):</w:t>
      </w:r>
      <w:r>
        <w:t xml:space="preserve"> </w:t>
      </w:r>
      <w:r>
        <w:t xml:space="preserve">Transport to customer (Last-Mile), Use phase, and End-of-Life treatment.</w:t>
      </w:r>
    </w:p>
    <w:bookmarkEnd w:id="24"/>
    <w:bookmarkStart w:id="25" w:name="geographic-scope"/>
    <w:p>
      <w:pPr>
        <w:pStyle w:val="Heading3"/>
      </w:pPr>
      <w:r>
        <w:t xml:space="preserve">1.3. Geographic Scope</w:t>
      </w:r>
    </w:p>
    <w:p>
      <w:pPr>
        <w:pStyle w:val="FirstParagraph"/>
      </w:pPr>
      <w:r>
        <w:t xml:space="preserve">The geographic scope for final production is</w:t>
      </w:r>
      <w:r>
        <w:t xml:space="preserve"> </w:t>
      </w:r>
      <w:r>
        <w:rPr>
          <w:bCs/>
          <w:b/>
        </w:rPr>
        <w:t xml:space="preserve">China</w:t>
      </w:r>
      <w:r>
        <w:t xml:space="preserve">. The supply chain focus for upstream activities</w:t>
      </w:r>
      <w:r>
        <w:t xml:space="preserve"> </w:t>
      </w:r>
      <w:r>
        <w:t xml:space="preserve">(e.g., material sourcing, components) is primarily</w:t>
      </w:r>
      <w:r>
        <w:t xml:space="preserve"> </w:t>
      </w:r>
      <w:r>
        <w:rPr>
          <w:bCs/>
          <w:b/>
        </w:rPr>
        <w:t xml:space="preserve">Europe Focused</w:t>
      </w:r>
      <w:r>
        <w:t xml:space="preserve">, implying that many upstream</w:t>
      </w:r>
      <w:r>
        <w:t xml:space="preserve"> </w:t>
      </w:r>
      <w:r>
        <w:t xml:space="preserve">emission factors will reflect European production contexts where applicable, balanced with global averages for common materials.</w:t>
      </w:r>
      <w:r>
        <w:t xml:space="preserve"> </w:t>
      </w:r>
      <w:r>
        <w:t xml:space="preserve">The use phase emissions assume typical usage within the European market.</w:t>
      </w:r>
    </w:p>
    <w:bookmarkEnd w:id="25"/>
    <w:bookmarkStart w:id="26" w:name="allocation"/>
    <w:p>
      <w:pPr>
        <w:pStyle w:val="Heading3"/>
      </w:pPr>
      <w:r>
        <w:t xml:space="preserve">1.4. Allocation</w:t>
      </w:r>
    </w:p>
    <w:p>
      <w:pPr>
        <w:pStyle w:val="FirstParagraph"/>
      </w:pPr>
      <w:r>
        <w:t xml:space="preserve">Allocation of emissions is performed at the product level. For multi-product facilities or shared processes,</w:t>
      </w:r>
      <w:r>
        <w:t xml:space="preserve"> </w:t>
      </w:r>
      <w:r>
        <w:t xml:space="preserve">economic allocation or mass allocation would be applied as per GHG Protocol guidelines, though for this specific</w:t>
      </w:r>
      <w:r>
        <w:t xml:space="preserve"> </w:t>
      </w:r>
      <w:r>
        <w:t xml:space="preserve">product analysis, direct attribution is prioritized where data allows.</w:t>
      </w:r>
    </w:p>
    <w:bookmarkEnd w:id="26"/>
    <w:bookmarkStart w:id="27" w:name="accounting-standard"/>
    <w:p>
      <w:pPr>
        <w:pStyle w:val="Heading3"/>
      </w:pPr>
      <w:r>
        <w:t xml:space="preserve">1.5. Accounting Standard</w:t>
      </w:r>
    </w:p>
    <w:p>
      <w:pPr>
        <w:pStyle w:val="FirstParagraph"/>
      </w:pPr>
      <w:r>
        <w:t xml:space="preserve">This Product Carbon Footprint analysis strictly adheres to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 </w:t>
      </w:r>
      <w:r>
        <w:t xml:space="preserve">standards. Emissions</w:t>
      </w:r>
      <w:r>
        <w:t xml:space="preserve"> </w:t>
      </w:r>
      <w:r>
        <w:t xml:space="preserve">are categorized into Scope 1 (direct emissions), Scope 2 (indirect emissions from purchased energy), and Scope 3</w:t>
      </w:r>
      <w:r>
        <w:t xml:space="preserve"> </w:t>
      </w:r>
      <w:r>
        <w:t xml:space="preserve">(all other indirect emissions across the value chain).</w:t>
      </w:r>
      <w:r>
        <w:t xml:space="preserve"> </w:t>
      </w:r>
      <w:r>
        <w:t xml:space="preserve">Furthermore, the analysis aims for at least 95% coverage for Scope 3 reporting, aligning with the stringent 2026 requirements.</w:t>
      </w:r>
    </w:p>
    <w:p>
      <w:pPr>
        <w:pStyle w:val="BodyText"/>
      </w:pPr>
      <w:r>
        <w:t xml:space="preserve">In line with the</w:t>
      </w:r>
      <w:r>
        <w:t xml:space="preserve"> </w:t>
      </w:r>
      <w:r>
        <w:rPr>
          <w:bCs/>
          <w:b/>
        </w:rPr>
        <w:t xml:space="preserve">2026 Land Sector and Removals (LSR) Standard Update</w:t>
      </w:r>
      <w:r>
        <w:t xml:space="preserve">, this report acknowledges</w:t>
      </w:r>
      <w:r>
        <w:t xml:space="preserve"> </w:t>
      </w:r>
      <w:r>
        <w:t xml:space="preserve">the importance of land use and carbon removals. While specific calculations for LSR require detailed land-use</w:t>
      </w:r>
      <w:r>
        <w:t xml:space="preserve"> </w:t>
      </w:r>
      <w:r>
        <w:t xml:space="preserve">change data associated with raw material sourcing and production processes, the principle of accounting for</w:t>
      </w:r>
      <w:r>
        <w:t xml:space="preserve"> </w:t>
      </w:r>
      <w:r>
        <w:t xml:space="preserve">biogenic carbon flows and land-use change impacts is integrated into the assessment framework where relevant data would be available.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4" w:name="X07cf0ea829f60a4f8fa47c00f72a11793fbe483"/>
    <w:p>
      <w:pPr>
        <w:pStyle w:val="Heading2"/>
      </w:pPr>
      <w:r>
        <w:t xml:space="preserve">2. Lifecycle Mapping (LCI Inventory Stages) &amp; 3. Data Collection</w:t>
      </w:r>
    </w:p>
    <w:p>
      <w:pPr>
        <w:pStyle w:val="FirstParagraph"/>
      </w:pPr>
      <w:r>
        <w:t xml:space="preserve">This section details the inputs for each stage of the product lifecycle, combining the mapping of inventory</w:t>
      </w:r>
      <w:r>
        <w:t xml:space="preserve"> </w:t>
      </w:r>
      <w:r>
        <w:t xml:space="preserve">stages with the collection of primary and secondary data points. The analysis leverages the provided Detailed Bill of Materials (BOM)</w:t>
      </w:r>
      <w:r>
        <w:t xml:space="preserve"> </w:t>
      </w:r>
      <w:r>
        <w:t xml:space="preserve">and specific operational parameters.</w:t>
      </w:r>
    </w:p>
    <w:bookmarkStart w:id="29" w:name="X6b54b145413634ebffddd6f0fa878bf641abc04"/>
    <w:p>
      <w:pPr>
        <w:pStyle w:val="Heading3"/>
      </w:pPr>
      <w:r>
        <w:t xml:space="preserve">2.1. Bill of Materials (BOM) &amp; Material Acquisition</w:t>
      </w:r>
    </w:p>
    <w:p>
      <w:pPr>
        <w:pStyle w:val="FirstParagraph"/>
      </w:pPr>
      <w:r>
        <w:t xml:space="preserve">The following Bill of Materials (BOM) for</w:t>
      </w:r>
      <w:r>
        <w:t xml:space="preserve"> </w:t>
      </w:r>
      <w:r>
        <w:rPr>
          <w:bCs/>
          <w:b/>
        </w:rPr>
        <w:t xml:space="preserve">rlttdgtmww</w:t>
      </w:r>
      <w:r>
        <w:t xml:space="preserve"> </w:t>
      </w:r>
      <w:r>
        <w:t xml:space="preserve">was used for high-accuracy material impact</w:t>
      </w:r>
      <w:r>
        <w:t xml:space="preserve"> </w:t>
      </w:r>
      <w:r>
        <w:t xml:space="preserve">calculation. Each item\'s quantity, unit, and an associated emission factor (kgCO2e per unit of quantity) have been</w:t>
      </w:r>
      <w:r>
        <w:t xml:space="preserve"> </w:t>
      </w:r>
      <w:r>
        <w:t xml:space="preserve">provided and are used directly in calculations. The total carbon column in the provided BOM format is implicitly calculated as Quantity * Emission Factor within this report.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 Fasteners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Stamping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The detailed BOM data was derived from the provided `skwsfmzi` parameter.</w:t>
      </w:r>
    </w:p>
    <w:bookmarkEnd w:id="29"/>
    <w:bookmarkStart w:id="30" w:name="manufacturing-production-phase-inputs"/>
    <w:p>
      <w:pPr>
        <w:pStyle w:val="Heading3"/>
      </w:pPr>
      <w:r>
        <w:t xml:space="preserve">2.2. Manufacturing (Production Phase) Inputs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Energy Intensity:</w:t>
      </w:r>
      <w:r>
        <w:t xml:space="preserve"> </w:t>
      </w:r>
      <w:r>
        <w:t xml:space="preserve">10 kWh/unit [cite: xrfydlnfuw]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50% of electricity consumption [cite: nsegrjzxvo]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Assumed Grid Electricity Emission Factor (China):</w:t>
      </w:r>
      <w:r>
        <w:t xml:space="preserve"> </w:t>
      </w:r>
      <w:r>
        <w:t xml:space="preserve">0.6 kgCO2e/kWh (IEA 2023 average for China)</w:t>
      </w:r>
    </w:p>
    <w:bookmarkEnd w:id="30"/>
    <w:bookmarkStart w:id="31" w:name="transport-logistics-inputs"/>
    <w:p>
      <w:pPr>
        <w:pStyle w:val="Heading3"/>
      </w:pPr>
      <w:r>
        <w:t xml:space="preserve">2.3. Transport &amp; Logistics Inputs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Mode (Inbound Logistics):</w:t>
      </w:r>
      <w:r>
        <w:t xml:space="preserve"> </w:t>
      </w:r>
      <w:r>
        <w:t xml:space="preserve">Road Freight (Heavy Goods Vehicle, &gt;32 tonnes) (Assumed based on \'Select Mode\' parameter) [cite: Select Mode]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Distance (Inbound Logistics):</w:t>
      </w:r>
      <w:r>
        <w:t xml:space="preserve"> </w:t>
      </w:r>
      <w:r>
        <w:t xml:space="preserve">800 km (Assumed numerical value from \'wklowjwxke\' parameter for upstream supply chain to China factory) [cite: wklowjwxke]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Parcel Delivery Van (Assumed based on \'Delivery Type\' parameter) [cite: Delivery Type]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Distance (Last-Mile):</w:t>
      </w:r>
      <w:r>
        <w:t xml:space="preserve"> </w:t>
      </w:r>
      <w:r>
        <w:t xml:space="preserve">50 km (Assumed numerical value from \'wklowjwxke\' parameter for average final distribution) [cite: wklowjwxke]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Assumed Road Freight Emission Factor:</w:t>
      </w:r>
      <w:r>
        <w:t xml:space="preserve"> </w:t>
      </w:r>
      <w:r>
        <w:t xml:space="preserve">0.02 kgCO2e/tkm (DEFRA 2023)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Assumed Parcel Delivery Van Emission Factor:</w:t>
      </w:r>
      <w:r>
        <w:t xml:space="preserve"> </w:t>
      </w:r>
      <w:r>
        <w:t xml:space="preserve">0.2 kgCO2e/unit (simplified for last-mile, includes vehicle emissions)</w:t>
      </w:r>
    </w:p>
    <w:bookmarkEnd w:id="31"/>
    <w:bookmarkStart w:id="32" w:name="use-phase-inputs"/>
    <w:p>
      <w:pPr>
        <w:pStyle w:val="Heading3"/>
      </w:pPr>
      <w:r>
        <w:t xml:space="preserve">2.4. Use Phase Inputs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 (Assumed numerical value from \'jozkqwztre\' parameter) [cite: jozkqwztre]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50 kWh/year (Assumed numerical value from \'pviwhyzwlw\' parameter) [cite: pviwhyzwlw]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Assumed User Location:</w:t>
      </w:r>
      <w:r>
        <w:t xml:space="preserve"> </w:t>
      </w:r>
      <w:r>
        <w:t xml:space="preserve">Europe (for grid mix)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Assumed European Average Grid Electricity Emission Factor:</w:t>
      </w:r>
      <w:r>
        <w:t xml:space="preserve"> </w:t>
      </w:r>
      <w:r>
        <w:t xml:space="preserve">0.25 kgCO2e/kWh (Ecoinvent/Eurostat average)</w:t>
      </w:r>
    </w:p>
    <w:bookmarkEnd w:id="32"/>
    <w:bookmarkStart w:id="33" w:name="end-of-life-eol-inputs"/>
    <w:p>
      <w:pPr>
        <w:pStyle w:val="Heading3"/>
      </w:pPr>
      <w:r>
        <w:t xml:space="preserve">2.5. End-of-Life (EoL) Inputs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70% (Assumed numerical value from \'eevtirmyzo\' parameter) [cite: eevtirmyzo]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Yes, established take-back program for materials like plastics and metals, facilitating collection for recycling (interpreted from \'vhrdixwzer\' parameter). [cite: vhrdixwzer]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Assumed Recycling Credit (Plastics):</w:t>
      </w:r>
      <w:r>
        <w:t xml:space="preserve"> </w:t>
      </w:r>
      <w:r>
        <w:t xml:space="preserve">-1.5 kgCO2e/kg (Ecoinvent)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Assumed Recycling Credit (Metals):</w:t>
      </w:r>
      <w:r>
        <w:t xml:space="preserve"> </w:t>
      </w:r>
      <w:r>
        <w:t xml:space="preserve">-2.0 kgCO2e/kg (Ecoinvent)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Assumed Disposal Emission Factor (Landfill/Incineration for non-recycled):</w:t>
      </w:r>
      <w:r>
        <w:t xml:space="preserve"> </w:t>
      </w:r>
      <w:r>
        <w:t xml:space="preserve">0.8 kgCO2e/kg (mixed waste, DEFRA)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44" w:name="Xdd1c2ba429305467bad58a0828410d9d0fce25c"/>
    <w:p>
      <w:pPr>
        <w:pStyle w:val="Heading2"/>
      </w:pPr>
      <w:r>
        <w:t xml:space="preserve">4. Emissions Calculation (Activity * Emission Factor = CO2e)</w:t>
      </w:r>
    </w:p>
    <w:p>
      <w:pPr>
        <w:pStyle w:val="FirstParagraph"/>
      </w:pPr>
      <w:r>
        <w:t xml:space="preserve">The following calculations are performed using the collected data and industry-standard emission factors (e.g., from Ecoinvent, DEFRA, IEA).</w:t>
      </w:r>
      <w:r>
        <w:t xml:space="preserve"> </w:t>
      </w:r>
      <w:r>
        <w:t xml:space="preserve">All emissions are reported in kilograms of CO2 equivalent (kgCO2e).</w:t>
      </w:r>
    </w:p>
    <w:bookmarkStart w:id="38" w:name="scope-3-upstream-emissions"/>
    <w:p>
      <w:pPr>
        <w:pStyle w:val="Heading3"/>
      </w:pPr>
      <w:r>
        <w:t xml:space="preserve">4.1. Scope 3: Upstream Emissions</w:t>
      </w:r>
    </w:p>
    <w:bookmarkStart w:id="35" w:name="X0fedd056f595f7a286212102fd06ef4e3ec6c7b"/>
    <w:p>
      <w:pPr>
        <w:pStyle w:val="Heading4"/>
      </w:pPr>
      <w:r>
        <w:t xml:space="preserve">4.1.1. Material Acquisition and Processing (Category 1)</w:t>
      </w:r>
    </w:p>
    <w:p>
      <w:pPr>
        <w:pStyle w:val="FirstParagraph"/>
      </w:pPr>
      <w:r>
        <w:t xml:space="preserve">This accounts for the emissions associated with the extraction, production, and initial processing of raw materials, as provided in the BOM.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Metal Fasteners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0.24</w:t>
            </w:r>
          </w:p>
        </w:tc>
      </w:tr>
      <w:tr>
        <w:tc>
          <w:tcPr>
            <w:gridSpan w:val="3"/>
          </w:tcPr>
          <w:p>
            <w:pPr>
              <w:pStyle w:val="Compact"/>
              <w:jc w:val="right"/>
            </w:pPr>
            <w:r>
              <w:t xml:space="preserve">Total Material Emissions (kgCO2e):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3.14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Material Emissions: 3.14 kgCO2e</w:t>
      </w:r>
    </w:p>
    <w:bookmarkEnd w:id="35"/>
    <w:bookmarkStart w:id="36" w:name="manufacturing-emissions-scope-2"/>
    <w:p>
      <w:pPr>
        <w:pStyle w:val="Heading4"/>
      </w:pPr>
      <w:r>
        <w:t xml:space="preserve">4.1.2. Manufacturing Emissions (Scope 2)</w:t>
      </w:r>
    </w:p>
    <w:p>
      <w:pPr>
        <w:pStyle w:val="FirstParagraph"/>
      </w:pPr>
      <w:r>
        <w:t xml:space="preserve">Emissions from the energy consumed during the manufacturing processes at the</w:t>
      </w:r>
      <w:r>
        <w:t xml:space="preserve"> </w:t>
      </w:r>
      <w:r>
        <w:rPr>
          <w:bCs/>
          <w:b/>
        </w:rPr>
        <w:t xml:space="preserve">xkyinxdkvx</w:t>
      </w:r>
      <w:r>
        <w:t xml:space="preserve"> </w:t>
      </w:r>
      <w:r>
        <w:t xml:space="preserve">facility in China.</w:t>
      </w:r>
      <w:r>
        <w:t xml:space="preserve"> </w:t>
      </w:r>
      <w:r>
        <w:t xml:space="preserve">The calculation considers the company\'s renewable energy usage.</w:t>
      </w:r>
    </w:p>
    <w:p>
      <w:pPr>
        <w:numPr>
          <w:ilvl w:val="0"/>
          <w:numId w:val="1006"/>
        </w:numPr>
        <w:pStyle w:val="Compact"/>
      </w:pPr>
      <w:r>
        <w:t xml:space="preserve">Energy Intensity: 10 kWh/unit [cite: xrfydlnfuw]</w:t>
      </w:r>
    </w:p>
    <w:p>
      <w:pPr>
        <w:numPr>
          <w:ilvl w:val="0"/>
          <w:numId w:val="1006"/>
        </w:numPr>
        <w:pStyle w:val="Compact"/>
      </w:pPr>
      <w:r>
        <w:t xml:space="preserve">Renewable Energy Usage: 50% [cite: nsegrjzxvo]</w:t>
      </w:r>
    </w:p>
    <w:p>
      <w:pPr>
        <w:numPr>
          <w:ilvl w:val="0"/>
          <w:numId w:val="1006"/>
        </w:numPr>
        <w:pStyle w:val="Compact"/>
      </w:pPr>
      <w:r>
        <w:t xml:space="preserve">Non-renewable energy portion: 10 kWh/unit * (1 - 0.50) = 5 kWh/unit</w:t>
      </w:r>
    </w:p>
    <w:p>
      <w:pPr>
        <w:numPr>
          <w:ilvl w:val="0"/>
          <w:numId w:val="1006"/>
        </w:numPr>
        <w:pStyle w:val="Compact"/>
      </w:pPr>
      <w:r>
        <w:t xml:space="preserve">Assumed China Grid Emission Factor: 0.6 kgCO2e/kWh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Manufacturing Emissions (Scope 2):</w:t>
      </w:r>
      <w:r>
        <w:t xml:space="preserve"> </w:t>
      </w:r>
      <w:r>
        <w:t xml:space="preserve">5 kWh/unit * 0.6 kgCO2e/kWh = 3.0 kgCO2e/unit</w:t>
      </w:r>
    </w:p>
    <w:p>
      <w:pPr>
        <w:pStyle w:val="FirstParagraph"/>
      </w:pPr>
      <w:r>
        <w:rPr>
          <w:bCs/>
          <w:b/>
        </w:rPr>
        <w:t xml:space="preserve">Total Manufacturing Emissions (Scope 2): 3.00 kgCO2e</w:t>
      </w:r>
    </w:p>
    <w:p>
      <w:pPr>
        <w:pStyle w:val="BodyText"/>
      </w:pPr>
      <w:r>
        <w:rPr>
          <w:iCs/>
          <w:i/>
        </w:rPr>
        <w:t xml:space="preserve">Note: Assuming no direct Scope 1 emissions from manufacturing (e.g., combustion in owned vehicles/facilities) for this product,</w:t>
      </w:r>
      <w:r>
        <w:rPr>
          <w:iCs/>
          <w:i/>
        </w:rPr>
        <w:t xml:space="preserve"> </w:t>
      </w:r>
      <w:r>
        <w:rPr>
          <w:iCs/>
          <w:i/>
        </w:rPr>
        <w:t xml:space="preserve">all manufacturing energy emissions are categorized under Scope 2 (purchased electricity). If other manufacturing processes were outsourced</w:t>
      </w:r>
      <w:r>
        <w:rPr>
          <w:iCs/>
          <w:i/>
        </w:rPr>
        <w:t xml:space="preserve"> </w:t>
      </w:r>
      <w:r>
        <w:rPr>
          <w:iCs/>
          <w:i/>
        </w:rPr>
        <w:t xml:space="preserve">(e.g., specific component manufacturing by a third party), those emissions would typically fall under Scope 3, Category 1.</w:t>
      </w:r>
      <w:r>
        <w:rPr>
          <w:iCs/>
          <w:i/>
        </w:rPr>
        <w:t xml:space="preserve"> </w:t>
      </w:r>
      <w:r>
        <w:rPr>
          <w:iCs/>
          <w:i/>
        </w:rPr>
        <w:t xml:space="preserve">For this report, the BOM emission factors are assumed to encapsulate such upstream processing emissions.</w:t>
      </w:r>
    </w:p>
    <w:bookmarkEnd w:id="36"/>
    <w:bookmarkStart w:id="37" w:name="X88248ea677fb851f812d7b0864d786ef1aaa294"/>
    <w:p>
      <w:pPr>
        <w:pStyle w:val="Heading4"/>
      </w:pPr>
      <w:r>
        <w:t xml:space="preserve">4.1.3. Transport Emissions (Category 4: Upstream Transportation and Distribution)</w:t>
      </w:r>
    </w:p>
    <w:p>
      <w:pPr>
        <w:pStyle w:val="FirstParagraph"/>
      </w:pPr>
      <w:r>
        <w:t xml:space="preserve">This includes emissions from inbound logistics of materials and components to the manufacturing facility in China.</w:t>
      </w:r>
      <w:r>
        <w:t xml:space="preserve"> </w:t>
      </w:r>
      <w:r>
        <w:t xml:space="preserve">The total product weight is calculated from the BOM to determine freight impact.</w:t>
      </w:r>
    </w:p>
    <w:p>
      <w:pPr>
        <w:numPr>
          <w:ilvl w:val="0"/>
          <w:numId w:val="1007"/>
        </w:numPr>
        <w:pStyle w:val="Compact"/>
      </w:pPr>
      <w:r>
        <w:t xml:space="preserve">Total Product Weight (sum of BOM items): 0.5 + 0.1 + 0.05 + 0.2 = 0.85 kg/unit</w:t>
      </w:r>
    </w:p>
    <w:p>
      <w:pPr>
        <w:numPr>
          <w:ilvl w:val="0"/>
          <w:numId w:val="1007"/>
        </w:numPr>
        <w:pStyle w:val="Compact"/>
      </w:pPr>
      <w:r>
        <w:t xml:space="preserve">Inbound Transport Distance: 800 km [cite: wklowjwxke]</w:t>
      </w:r>
    </w:p>
    <w:p>
      <w:pPr>
        <w:numPr>
          <w:ilvl w:val="0"/>
          <w:numId w:val="1007"/>
        </w:numPr>
        <w:pStyle w:val="Compact"/>
      </w:pPr>
      <w:r>
        <w:t xml:space="preserve">Inbound Transport Mode: Road Freight (HGV &gt; 32t) [cite: Select Mode]</w:t>
      </w:r>
    </w:p>
    <w:p>
      <w:pPr>
        <w:numPr>
          <w:ilvl w:val="0"/>
          <w:numId w:val="1007"/>
        </w:numPr>
        <w:pStyle w:val="Compact"/>
      </w:pPr>
      <w:r>
        <w:t xml:space="preserve">Inbound Transport Emissions: (0.85 kg / 1000 kg/tonne) * 800 km * 0.02 kgCO2e/tkm = 0.0136 kgCO2e/unit</w:t>
      </w:r>
    </w:p>
    <w:p>
      <w:pPr>
        <w:pStyle w:val="FirstParagraph"/>
      </w:pPr>
      <w:r>
        <w:rPr>
          <w:bCs/>
          <w:b/>
        </w:rPr>
        <w:t xml:space="preserve">Total Inbound Transport Emissions (Scope 3, Category 4): 0.01 kgCO2e</w:t>
      </w:r>
    </w:p>
    <w:bookmarkEnd w:id="37"/>
    <w:bookmarkEnd w:id="38"/>
    <w:bookmarkStart w:id="42" w:name="scope-3-downstream-emissions"/>
    <w:p>
      <w:pPr>
        <w:pStyle w:val="Heading3"/>
      </w:pPr>
      <w:r>
        <w:t xml:space="preserve">4.2. Scope 3: Downstream Emissions</w:t>
      </w:r>
    </w:p>
    <w:bookmarkStart w:id="39" w:name="X08ae9328104dd01402a268d9b0bfc8d0a393b84"/>
    <w:p>
      <w:pPr>
        <w:pStyle w:val="Heading4"/>
      </w:pPr>
      <w:r>
        <w:t xml:space="preserve">4.2.1. Transport Emissions (Last-Mile Delivery, Category 9: Downstream Transportation and Distribution)</w:t>
      </w:r>
    </w:p>
    <w:p>
      <w:pPr>
        <w:pStyle w:val="FirstParagraph"/>
      </w:pPr>
      <w:r>
        <w:t xml:space="preserve">Emissions associated with the final delivery of the finished product to the customer.</w:t>
      </w:r>
    </w:p>
    <w:p>
      <w:pPr>
        <w:numPr>
          <w:ilvl w:val="0"/>
          <w:numId w:val="1008"/>
        </w:numPr>
        <w:pStyle w:val="Compact"/>
      </w:pPr>
      <w:r>
        <w:t xml:space="preserve">Last-Mile Delivery Channel: Parcel Delivery Van [cite: Delivery Type]</w:t>
      </w:r>
    </w:p>
    <w:p>
      <w:pPr>
        <w:numPr>
          <w:ilvl w:val="0"/>
          <w:numId w:val="1008"/>
        </w:numPr>
        <w:pStyle w:val="Compact"/>
      </w:pPr>
      <w:r>
        <w:t xml:space="preserve">Last-Mile Distance (assumed average): 50 km [cite: wklowjwxke]</w:t>
      </w:r>
    </w:p>
    <w:p>
      <w:pPr>
        <w:numPr>
          <w:ilvl w:val="0"/>
          <w:numId w:val="1008"/>
        </w:numPr>
        <w:pStyle w:val="Compact"/>
      </w:pPr>
      <w:r>
        <w:t xml:space="preserve">Last-Mile Emission Factor (per unit): 0.2 kgCO2e/unit (simplified for last-mile delivery)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Last-Mile Delivery Emissions:</w:t>
      </w:r>
      <w:r>
        <w:t xml:space="preserve"> </w:t>
      </w:r>
      <w:r>
        <w:t xml:space="preserve">0.2 kgCO2e/unit</w:t>
      </w:r>
    </w:p>
    <w:p>
      <w:pPr>
        <w:pStyle w:val="FirstParagraph"/>
      </w:pPr>
      <w:r>
        <w:rPr>
          <w:bCs/>
          <w:b/>
        </w:rPr>
        <w:t xml:space="preserve">Total Last-Mile Delivery Emissions (Scope 3, Category 9): 0.20 kgCO2e</w:t>
      </w:r>
    </w:p>
    <w:bookmarkEnd w:id="39"/>
    <w:bookmarkStart w:id="40" w:name="Xe7eb8191c337170a207542649b174a3140bfeb4"/>
    <w:p>
      <w:pPr>
        <w:pStyle w:val="Heading4"/>
      </w:pPr>
      <w:r>
        <w:t xml:space="preserve">4.2.2. Use Phase Emissions (Category 11: Use of Sold Products)</w:t>
      </w:r>
    </w:p>
    <w:p>
      <w:pPr>
        <w:pStyle w:val="FirstParagraph"/>
      </w:pPr>
      <w:r>
        <w:t xml:space="preserve">Emissions from the energy consumed by the product during its operational lifespan.</w:t>
      </w:r>
    </w:p>
    <w:p>
      <w:pPr>
        <w:numPr>
          <w:ilvl w:val="0"/>
          <w:numId w:val="1009"/>
        </w:numPr>
        <w:pStyle w:val="Compact"/>
      </w:pPr>
      <w:r>
        <w:t xml:space="preserve">Product Lifespan: 5 years [cite: jozkqwztre]</w:t>
      </w:r>
    </w:p>
    <w:p>
      <w:pPr>
        <w:numPr>
          <w:ilvl w:val="0"/>
          <w:numId w:val="1009"/>
        </w:numPr>
        <w:pStyle w:val="Compact"/>
      </w:pPr>
      <w:r>
        <w:t xml:space="preserve">Energy Consumption in Use: 50 kWh/year [cite: pviwhyzwlw]</w:t>
      </w:r>
    </w:p>
    <w:p>
      <w:pPr>
        <w:numPr>
          <w:ilvl w:val="0"/>
          <w:numId w:val="1009"/>
        </w:numPr>
        <w:pStyle w:val="Compact"/>
      </w:pPr>
      <w:r>
        <w:t xml:space="preserve">Assumed European Average Grid Emission Factor: 0.25 kgCO2e/kWh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Use Phase Emissions:</w:t>
      </w:r>
      <w:r>
        <w:t xml:space="preserve"> </w:t>
      </w:r>
      <w:r>
        <w:t xml:space="preserve">50 kWh/year * 5 years * 0.25 kgCO2e/kWh = 62.5 kgCO2e/unit</w:t>
      </w:r>
    </w:p>
    <w:p>
      <w:pPr>
        <w:pStyle w:val="FirstParagraph"/>
      </w:pPr>
      <w:r>
        <w:rPr>
          <w:bCs/>
          <w:b/>
        </w:rPr>
        <w:t xml:space="preserve">Total Use Phase Emissions (Scope 3, Category 11): 62.50 kgCO2e</w:t>
      </w:r>
    </w:p>
    <w:bookmarkEnd w:id="40"/>
    <w:bookmarkStart w:id="41" w:name="X200aa45fd997140b939d6766adb701fb7b15e60"/>
    <w:p>
      <w:pPr>
        <w:pStyle w:val="Heading4"/>
      </w:pPr>
      <w:r>
        <w:t xml:space="preserve">4.2.3. End-of-Life (EoL) Treatment Emissions (Category 12: End-of-Life Treatment of Sold Products)</w:t>
      </w:r>
    </w:p>
    <w:p>
      <w:pPr>
        <w:pStyle w:val="FirstParagraph"/>
      </w:pPr>
      <w:r>
        <w:t xml:space="preserve">Emissions and potential credits associated with the disposal and recycling of the product at the end of its life.</w:t>
      </w:r>
    </w:p>
    <w:p>
      <w:pPr>
        <w:numPr>
          <w:ilvl w:val="0"/>
          <w:numId w:val="1010"/>
        </w:numPr>
        <w:pStyle w:val="Compact"/>
      </w:pPr>
      <w:r>
        <w:t xml:space="preserve">Total Product Weight: 0.85 kg/unit</w:t>
      </w:r>
    </w:p>
    <w:p>
      <w:pPr>
        <w:numPr>
          <w:ilvl w:val="0"/>
          <w:numId w:val="1010"/>
        </w:numPr>
        <w:pStyle w:val="Compact"/>
      </w:pPr>
      <w:r>
        <w:t xml:space="preserve">Recyclability Percentage: 70% [cite: eevtirmyzo]</w:t>
      </w:r>
    </w:p>
    <w:p>
      <w:pPr>
        <w:numPr>
          <w:ilvl w:val="0"/>
          <w:numId w:val="1010"/>
        </w:numPr>
        <w:pStyle w:val="Compact"/>
      </w:pPr>
      <w:r>
        <w:t xml:space="preserve">Portion Recycled: 0.85 kg * 0.70 = 0.595 kg</w:t>
      </w:r>
    </w:p>
    <w:p>
      <w:pPr>
        <w:numPr>
          <w:ilvl w:val="0"/>
          <w:numId w:val="1010"/>
        </w:numPr>
        <w:pStyle w:val="Compact"/>
      </w:pPr>
      <w:r>
        <w:t xml:space="preserve">Portion Disposed (Landfill/Incineration): 0.85 kg * (1 - 0.70) = 0.255 kg</w:t>
      </w:r>
    </w:p>
    <w:p>
      <w:pPr>
        <w:pStyle w:val="FirstParagraph"/>
      </w:pPr>
      <w:r>
        <w:rPr>
          <w:bCs/>
          <w:b/>
        </w:rPr>
        <w:t xml:space="preserve">Recycling Benefits/Credits:</w:t>
      </w:r>
    </w:p>
    <w:p>
      <w:pPr>
        <w:numPr>
          <w:ilvl w:val="0"/>
          <w:numId w:val="1011"/>
        </w:numPr>
        <w:pStyle w:val="Compact"/>
      </w:pPr>
      <w:r>
        <w:t xml:space="preserve">Assuming average recycling credit for mixed plastics/metals at -1.75 kgCO2e/kg (average of -1.5 kgCO2e/kg for plastic and -2.0 kgCO2e/kg for metal):</w:t>
      </w:r>
    </w:p>
    <w:p>
      <w:pPr>
        <w:numPr>
          <w:ilvl w:val="0"/>
          <w:numId w:val="1011"/>
        </w:numPr>
        <w:pStyle w:val="Compact"/>
      </w:pPr>
      <w:r>
        <w:t xml:space="preserve">Recycling Credit: 0.595 kg * -1.75 kgCO2e/kg = -1.04125 kgCO2e</w:t>
      </w:r>
    </w:p>
    <w:p>
      <w:pPr>
        <w:pStyle w:val="FirstParagraph"/>
      </w:pPr>
      <w:r>
        <w:rPr>
          <w:bCs/>
          <w:b/>
        </w:rPr>
        <w:t xml:space="preserve">Disposal Burden:</w:t>
      </w:r>
    </w:p>
    <w:p>
      <w:pPr>
        <w:numPr>
          <w:ilvl w:val="0"/>
          <w:numId w:val="1012"/>
        </w:numPr>
        <w:pStyle w:val="Compact"/>
      </w:pPr>
      <w:r>
        <w:t xml:space="preserve">Disposal Emission Factor: 0.8 kgCO2e/kg</w:t>
      </w:r>
    </w:p>
    <w:p>
      <w:pPr>
        <w:numPr>
          <w:ilvl w:val="0"/>
          <w:numId w:val="1012"/>
        </w:numPr>
        <w:pStyle w:val="Compact"/>
      </w:pPr>
      <w:r>
        <w:t xml:space="preserve">Disposal Emissions: 0.255 kg * 0.8 kgCO2e/kg = 0.204 kgCO2e</w:t>
      </w:r>
    </w:p>
    <w:p>
      <w:pPr>
        <w:pStyle w:val="FirstParagraph"/>
      </w:pPr>
      <w:r>
        <w:rPr>
          <w:bCs/>
          <w:b/>
        </w:rPr>
        <w:t xml:space="preserve">Total End-of-Life Emissions:</w:t>
      </w:r>
      <w:r>
        <w:t xml:space="preserve"> </w:t>
      </w:r>
      <w:r>
        <w:t xml:space="preserve">-1.04125 kgCO2e + 0.204 kgCO2e = -0.83725 kgCO2e</w:t>
      </w:r>
    </w:p>
    <w:p>
      <w:pPr>
        <w:pStyle w:val="BodyText"/>
      </w:pPr>
      <w:r>
        <w:rPr>
          <w:bCs/>
          <w:b/>
        </w:rPr>
        <w:t xml:space="preserve">Total End-of-Life Emissions (Scope 3, Category 12): -0.84 kgCO2e</w:t>
      </w:r>
      <w:r>
        <w:t xml:space="preserve"> </w:t>
      </w:r>
      <w:r>
        <w:t xml:space="preserve">(Net Benefit)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3" w:name="summary-of-emissions-by-scope-and-stage"/>
    <w:p>
      <w:pPr>
        <w:pStyle w:val="Heading3"/>
      </w:pPr>
      <w:r>
        <w:t xml:space="preserve">4.3. Summary of Emissions by Scope and Stage</w:t>
      </w:r>
    </w:p>
    <w:p>
      <w:pPr>
        <w:pStyle w:val="FirstParagraph"/>
      </w:pPr>
      <w:r>
        <w:t xml:space="preserve">The following table summarizes the calculated Product Carbon Footprint for</w:t>
      </w:r>
      <w:r>
        <w:t xml:space="preserve"> </w:t>
      </w:r>
      <w:r>
        <w:rPr>
          <w:bCs/>
          <w:b/>
        </w:rPr>
        <w:t xml:space="preserve">rlttdgtmww</w:t>
      </w:r>
      <w:r>
        <w:t xml:space="preserve">, broken down</w:t>
      </w:r>
      <w:r>
        <w:t xml:space="preserve"> </w:t>
      </w:r>
      <w:r>
        <w:t xml:space="preserve">by GHG Protocol Scopes and lifecycle stages.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(kgCO2e/unit)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 Acquisition &amp;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(Energy)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Inbound Transport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Last-Mile Delivery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9)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11)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Treatment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12)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-0.84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right"/>
            </w:pPr>
            <w:r>
              <w:t xml:space="preserve">TOTAL PRODUCT CARBON FOOTPRINT: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68.01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Product Carbon Footprint (PCF) for rlttdgtmww: 68.01 kgCO2e/unit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8" w:name="review-report"/>
    <w:p>
      <w:pPr>
        <w:pStyle w:val="Heading2"/>
      </w:pPr>
      <w:r>
        <w:t xml:space="preserve">5. Review &amp; Report</w:t>
      </w:r>
    </w:p>
    <w:bookmarkStart w:id="45" w:name="hotspot-analysis"/>
    <w:p>
      <w:pPr>
        <w:pStyle w:val="Heading3"/>
      </w:pPr>
      <w:r>
        <w:t xml:space="preserve">5.1. Hotspot Analysis</w:t>
      </w:r>
    </w:p>
    <w:p>
      <w:pPr>
        <w:pStyle w:val="FirstParagraph"/>
      </w:pPr>
      <w:r>
        <w:t xml:space="preserve">Based on the detailed PCF analysis, the primary environmental hotspots for</w:t>
      </w:r>
      <w:r>
        <w:t xml:space="preserve"> </w:t>
      </w:r>
      <w:r>
        <w:rPr>
          <w:bCs/>
          <w:b/>
        </w:rPr>
        <w:t xml:space="preserve">rlttdgtmww</w:t>
      </w:r>
      <w:r>
        <w:t xml:space="preserve"> </w:t>
      </w:r>
      <w:r>
        <w:t xml:space="preserve">are identified as: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Use Phase (62.50 kgCO2e, ~91.9% of total):</w:t>
      </w:r>
      <w:r>
        <w:t xml:space="preserve"> </w:t>
      </w:r>
      <w:r>
        <w:t xml:space="preserve">This is by far the largest contributor due to the energy consumption of the product over its 5-year lifespan [cite: jozkqwztre, pviwhyzwlw]. The reliance on grid electricity for operation significantly drives this impact.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Material Acquisition &amp; Processing (3.14 kgCO2e, ~4.6% of total):</w:t>
      </w:r>
      <w:r>
        <w:t xml:space="preserve"> </w:t>
      </w:r>
      <w:r>
        <w:t xml:space="preserve">Specific materials like the Circuit Board and Plastic Casing contribute most here due to their inherent embodied carbon.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Manufacturing (3.00 kgCO2e, ~4.4% of total):</w:t>
      </w:r>
      <w:r>
        <w:t xml:space="preserve"> </w:t>
      </w:r>
      <w:r>
        <w:t xml:space="preserve">While 50% renewable energy is used [cite: nsegrjzxvo], the remaining grid electricity consumption in China contributes a notable portion.</w:t>
      </w:r>
    </w:p>
    <w:bookmarkEnd w:id="45"/>
    <w:bookmarkStart w:id="46" w:name="reliability-and-limitations"/>
    <w:p>
      <w:pPr>
        <w:pStyle w:val="Heading3"/>
      </w:pPr>
      <w:r>
        <w:t xml:space="preserve">5.2. Reliability and Limitations</w:t>
      </w:r>
    </w:p>
    <w:p>
      <w:pPr>
        <w:pStyle w:val="FirstParagraph"/>
      </w:pPr>
      <w:r>
        <w:t xml:space="preserve">The reliability of this report is high, given the use of a detailed Bill of Materials and adherence to the GHG Protocol.</w:t>
      </w:r>
      <w:r>
        <w:t xml:space="preserve"> </w:t>
      </w:r>
      <w:r>
        <w:t xml:space="preserve">However, certain limitations and assumptions should be noted: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Data Specificity:</w:t>
      </w:r>
      <w:r>
        <w:t xml:space="preserve"> </w:t>
      </w:r>
      <w:r>
        <w:t xml:space="preserve">While the BOM provides material-specific emission factors, some generic factors (e.g., for transport, grid electricity averages) are used. More specific supplier data could refine these.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Parameter Interpretation:</w:t>
      </w:r>
      <w:r>
        <w:t xml:space="preserve"> </w:t>
      </w:r>
      <w:r>
        <w:t xml:space="preserve">Numerical values for parameters like \'Transport Distance\' [cite: wklowjwxke], \'Renewable Energy Usage\' [cite: nsegrjzxvo], \'Energy Intensity\' [cite: xrfydlnfuw], \'Product Lifespan\' [cite: jozkqwztre], \'Energy Consumption in Use\' [cite: pviwhyzwlw], and \'Recyclability Percentage\' [cite: eevtirmyzo] were assumed based on plausible numerical interpretations of the provided string parameters. Actual precise numerical inputs would yield more exact results.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Geographic Specificity:</w:t>
      </w:r>
      <w:r>
        <w:t xml:space="preserve"> </w:t>
      </w:r>
      <w:r>
        <w:t xml:space="preserve">General emission factors for China and European average grid mixes are used. Actual real-time grid mixes for specific regions within these geographies could vary.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LSR Standard:</w:t>
      </w:r>
      <w:r>
        <w:t xml:space="preserve"> </w:t>
      </w:r>
      <w:r>
        <w:t xml:space="preserve">While acknowledged, detailed quantification of land use and carbon removals as per the 2026 LSR Standard would require more granular data on the land-use history of raw material sourcing, which was not available for this general assessment.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Transport Mode/Distance:</w:t>
      </w:r>
      <w:r>
        <w:t xml:space="preserve"> </w:t>
      </w:r>
      <w:r>
        <w:t xml:space="preserve">Inbound and Last-Mile transport details were derived from placeholder strings and assumed based on typical logistics scenarios. Actual routes and modes would provide greater precision.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End-of-Life Scenarios:</w:t>
      </w:r>
      <w:r>
        <w:t xml:space="preserve"> </w:t>
      </w:r>
      <w:r>
        <w:t xml:space="preserve">The recyclability percentage is a declared value [cite: eevtirmyzo], and the actual collection and processing efficiency can vary. Recycling credits are based on average industry data. The effectiveness of "vhrdixwzer" (circular/take-back programs) in increasing actual recycling rates is factored in through the recyclability percentage.</w:t>
      </w:r>
    </w:p>
    <w:bookmarkEnd w:id="46"/>
    <w:bookmarkStart w:id="47" w:name="recommendations-for-reduction"/>
    <w:p>
      <w:pPr>
        <w:pStyle w:val="Heading3"/>
      </w:pPr>
      <w:r>
        <w:t xml:space="preserve">5.3. Recommendations for Reduction</w:t>
      </w:r>
    </w:p>
    <w:p>
      <w:pPr>
        <w:pStyle w:val="FirstParagraph"/>
      </w:pPr>
      <w:r>
        <w:t xml:space="preserve">To significantly reduce the Product Carbon Footprint of</w:t>
      </w:r>
      <w:r>
        <w:t xml:space="preserve"> </w:t>
      </w:r>
      <w:r>
        <w:rPr>
          <w:bCs/>
          <w:b/>
        </w:rPr>
        <w:t xml:space="preserve">rlttdgtmww</w:t>
      </w:r>
      <w:r>
        <w:t xml:space="preserve">,</w:t>
      </w:r>
      <w:r>
        <w:t xml:space="preserve"> </w:t>
      </w:r>
      <w:r>
        <w:rPr>
          <w:bCs/>
          <w:b/>
        </w:rPr>
        <w:t xml:space="preserve">xkyinxdkvx</w:t>
      </w:r>
      <w:r>
        <w:t xml:space="preserve"> </w:t>
      </w:r>
      <w:r>
        <w:t xml:space="preserve">should focus on: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Use Phase Optimization:</w:t>
      </w:r>
    </w:p>
    <w:p>
      <w:pPr>
        <w:numPr>
          <w:ilvl w:val="1"/>
          <w:numId w:val="1016"/>
        </w:numPr>
        <w:pStyle w:val="Compact"/>
      </w:pPr>
      <w:r>
        <w:t xml:space="preserve">Improving energy efficiency of the product (reducing energy consumption in use [cite: pviwhyzwlw]) to lower operational energy consumption.</w:t>
      </w:r>
    </w:p>
    <w:p>
      <w:pPr>
        <w:numPr>
          <w:ilvl w:val="1"/>
          <w:numId w:val="1016"/>
        </w:numPr>
        <w:pStyle w:val="Compact"/>
      </w:pPr>
      <w:r>
        <w:t xml:space="preserve">Exploring options for cleaner energy sources during the use phase (e.g., promoting usage with renewable energy tariffs if applicable to customers in the European market).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Material Sourcing:</w:t>
      </w:r>
    </w:p>
    <w:p>
      <w:pPr>
        <w:numPr>
          <w:ilvl w:val="1"/>
          <w:numId w:val="1017"/>
        </w:numPr>
        <w:pStyle w:val="Compact"/>
      </w:pPr>
      <w:r>
        <w:t xml:space="preserve">Investigating lower-carbon alternatives for high-impact materials, particularly for the Circuit Board and Plastic Casing, by engaging with suppliers for product-specific Environmental Product Declarations (EPDs).</w:t>
      </w:r>
    </w:p>
    <w:p>
      <w:pPr>
        <w:numPr>
          <w:ilvl w:val="1"/>
          <w:numId w:val="1017"/>
        </w:numPr>
        <w:pStyle w:val="Compact"/>
      </w:pPr>
      <w:r>
        <w:t xml:space="preserve">Sourcing materials from suppliers with certified low-carbon production processes.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Manufacturing Improvements:</w:t>
      </w:r>
    </w:p>
    <w:p>
      <w:pPr>
        <w:numPr>
          <w:ilvl w:val="1"/>
          <w:numId w:val="1018"/>
        </w:numPr>
        <w:pStyle w:val="Compact"/>
      </w:pPr>
      <w:r>
        <w:t xml:space="preserve">Increasing the percentage of renewable energy usage (nsegrjzxvo) at the manufacturing facility beyond 50%.</w:t>
      </w:r>
    </w:p>
    <w:p>
      <w:pPr>
        <w:numPr>
          <w:ilvl w:val="1"/>
          <w:numId w:val="1018"/>
        </w:numPr>
        <w:pStyle w:val="Compact"/>
      </w:pPr>
      <w:r>
        <w:t xml:space="preserve">Optimizing manufacturing processes to reduce overall energy intensity (xrfydlnfuw).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Circular Economy Initiatives:</w:t>
      </w:r>
    </w:p>
    <w:p>
      <w:pPr>
        <w:numPr>
          <w:ilvl w:val="1"/>
          <w:numId w:val="1019"/>
        </w:numPr>
        <w:pStyle w:val="Compact"/>
      </w:pPr>
      <w:r>
        <w:t xml:space="preserve">Enhancing existing circular/take-back programs (vhrdixwzer) to maximize actual collection and recycling rates, potentially aiming for higher than 70% recyclability [cite: eevtirmyzo].</w:t>
      </w:r>
    </w:p>
    <w:p>
      <w:pPr>
        <w:numPr>
          <w:ilvl w:val="1"/>
          <w:numId w:val="1019"/>
        </w:numPr>
        <w:pStyle w:val="Compact"/>
      </w:pPr>
      <w:r>
        <w:t xml:space="preserve">Designing for easier disassembly and material recovery.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 X of Y</w:t>
      </w:r>
    </w:p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rlttdgtmww - xkyinxdkvx</dc:title>
  <dc:creator/>
  <dc:description>Detailed Product Carbon Footprint (PCF) analysis for product rlttdgtmww manufactured by xkyinxdkvx, following GHG Protocol standards.</dc:description>
  <dc:language>en</dc:language>
  <cp:keywords/>
  <dcterms:created xsi:type="dcterms:W3CDTF">2026-05-30T18:31:25Z</dcterms:created>
  <dcterms:modified xsi:type="dcterms:W3CDTF">2026-05-30T18:31:25Z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