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rloglhoump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rloglhoump</w:t>
      </w:r>
    </w:p>
    <w:p>
      <w:pPr>
        <w:pStyle w:val="BodyText"/>
      </w:pPr>
      <w:r>
        <w:rPr>
          <w:bCs/>
          <w:b/>
        </w:rPr>
        <w:t xml:space="preserve">Company Name:</w:t>
      </w:r>
      <w:r>
        <w:t xml:space="preserve"> </w:t>
      </w:r>
      <w:r>
        <w:t xml:space="preserve">rvljjrywri</w:t>
      </w:r>
    </w:p>
    <w:p>
      <w:pPr>
        <w:pStyle w:val="BodyText"/>
      </w:pPr>
      <w:r>
        <w:rPr>
          <w:bCs/>
          <w:b/>
        </w:rPr>
        <w:t xml:space="preserve">Senior Sustainability Consultant:</w:t>
      </w:r>
      <w:r>
        <w:t xml:space="preserve"> </w:t>
      </w:r>
      <w:r>
        <w:t xml:space="preserve">fniudmgzwt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this analysis represents an estimation of the product\'s carbon footprint.</w:t>
      </w:r>
    </w:p>
    <w:bookmarkEnd w:id="20"/>
    <w:p>
      <w:r>
        <w:pict>
          <v:rect style="width:0;height:1.5pt" o:hralign="center" o:hrstd="t" o:hr="t"/>
        </w:pict>
      </w:r>
    </w:p>
    <w:bookmarkStart w:id="37" w:name="Xe619c5dbd3817346f65a2148e9f5d85d19c86eb"/>
    <w:p>
      <w:pPr>
        <w:pStyle w:val="Heading1"/>
      </w:pPr>
      <w:r>
        <w:t xml:space="preserve">Product Carbon Footprint Analysis for rloglhoump</w:t>
      </w:r>
    </w:p>
    <w:p>
      <w:pPr>
        <w:pStyle w:val="FirstParagraph"/>
      </w:pPr>
      <w:r>
        <w:rPr>
          <w:bCs/>
          <w:b/>
        </w:rPr>
        <w:t xml:space="preserve">Generated Date:</w:t>
      </w:r>
      <w:r>
        <w:t xml:space="preserve"> </w:t>
      </w:r>
      <w:r>
        <w:t xml:space="preserve">June 3, 2026</w:t>
      </w:r>
    </w:p>
    <w:bookmarkStart w:id="21" w:name="executive-summary"/>
    <w:p>
      <w:pPr>
        <w:pStyle w:val="Heading2"/>
      </w:pPr>
      <w:r>
        <w:t xml:space="preserve">1. Executive Summary</w:t>
      </w:r>
    </w:p>
    <w:p>
      <w:pPr>
        <w:pStyle w:val="FirstParagraph"/>
      </w:pPr>
      <w:r>
        <w:t xml:space="preserve">This report presents a high-detail Product Carbon Footprint (PCF) analysis for rloglhoump, manufactured by rvljjrywri, conducted by fniudmgzwt, Senior Sustainability Consultant. The analysis adheres strictly to the GHG Protocol, incorporating the latest 2026 Land Sector and Removals (LSR) Standard and ensuring comprehensive Scope 3 coverage. The primary goal is to quantify the greenhouse gas emissions associated with rloglhoump across its entire lifecycle, from raw material extraction to end-of-life, identify key emission hotspots, and provide actionable insights for emission reduction.</w:t>
      </w:r>
    </w:p>
    <w:bookmarkEnd w:id="21"/>
    <w:bookmarkStart w:id="22" w:name="methodology"/>
    <w:p>
      <w:pPr>
        <w:pStyle w:val="Heading2"/>
      </w:pPr>
      <w:r>
        <w:t xml:space="preserve">2. Methodology</w:t>
      </w:r>
    </w:p>
    <w:p>
      <w:pPr>
        <w:pStyle w:val="FirstParagraph"/>
      </w:pPr>
      <w:r>
        <w:t xml:space="preserve">The Product Carbon Footprint (PCF) analysis for rloglhoump followed a five-step methodology as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and delineate all relevant lifecycle stages and associated processes from raw material acquisition through to end-of-life.</w:t>
      </w:r>
    </w:p>
    <w:p>
      <w:pPr>
        <w:numPr>
          <w:ilvl w:val="0"/>
          <w:numId w:val="1001"/>
        </w:numPr>
        <w:pStyle w:val="Compact"/>
      </w:pPr>
      <w:r>
        <w:rPr>
          <w:bCs/>
          <w:b/>
        </w:rPr>
        <w:t xml:space="preserve">Collect Data:</w:t>
      </w:r>
      <w:r>
        <w:t xml:space="preserve"> </w:t>
      </w:r>
      <w:r>
        <w:t xml:space="preserve">Gather both primary (company-specific) and secondary (industry average)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greenhouse gas (GHG) emissions by applying appropriate emission factors to collected activity data. Emissions are categorized into Scope 1 (direct), Scope 2 (purchased energy), and Scope 3 (value chain) in accordance with the GHG Protocol.</w:t>
      </w:r>
    </w:p>
    <w:p>
      <w:pPr>
        <w:numPr>
          <w:ilvl w:val="0"/>
          <w:numId w:val="1001"/>
        </w:numPr>
        <w:pStyle w:val="Compact"/>
      </w:pPr>
      <w:r>
        <w:rPr>
          <w:bCs/>
          <w:b/>
        </w:rPr>
        <w:t xml:space="preserve">Review &amp; Report:</w:t>
      </w:r>
      <w:r>
        <w:t xml:space="preserve"> </w:t>
      </w:r>
      <w:r>
        <w:t xml:space="preserve">Analyze the results to identify emission hotspots, assess data reliability, and compile a comprehensive report detailing findings and recommendations.</w:t>
      </w:r>
    </w:p>
    <w:p>
      <w:pPr>
        <w:pStyle w:val="FirstParagraph"/>
      </w:pPr>
      <w:r>
        <w:t xml:space="preserve">Special attention has been given to achieving at least 95% coverage for Scope 3 reporting, reflecting the 2026 requirements, and applying the Land Sector and Removals (LSR) Standard where applicable for land use and carbon removals.</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rloglhoump. This represents the reference flow to which all input and output data are normalized.</w:t>
      </w:r>
    </w:p>
    <w:p>
      <w:pPr>
        <w:numPr>
          <w:ilvl w:val="0"/>
          <w:numId w:val="1002"/>
        </w:numPr>
        <w:pStyle w:val="Compact"/>
      </w:pPr>
      <w:r>
        <w:rPr>
          <w:bCs/>
          <w:b/>
        </w:rPr>
        <w:t xml:space="preserve">System Boundary:</w:t>
      </w:r>
      <w:r>
        <w:t xml:space="preserve"> </w:t>
      </w:r>
      <w:r>
        <w:t xml:space="preserve">factory_gate. The system boundary encompasses all stages from raw material extraction, processing, manufacturing, and transport to the factory gate. For this analysis, the full cradle-to-grave approach is implied by the detailed parameters, extending beyond the factory gate to include use and end-of-life phases.</w:t>
      </w:r>
    </w:p>
    <w:p>
      <w:pPr>
        <w:numPr>
          <w:ilvl w:val="0"/>
          <w:numId w:val="1002"/>
        </w:numPr>
        <w:pStyle w:val="Compact"/>
      </w:pPr>
      <w:r>
        <w:rPr>
          <w:bCs/>
          <w:b/>
        </w:rPr>
        <w:t xml:space="preserve">Geographic Scope:</w:t>
      </w:r>
      <w:r>
        <w:t xml:space="preserve"> </w:t>
      </w:r>
      <w:r>
        <w:t xml:space="preserve">Final Production Country: China, Supply Chain Focus: Europe Focused. This dual focus acknowledges manufacturing location while emphasizing the primary supply chain sourcing and distribution regions.</w:t>
      </w:r>
    </w:p>
    <w:p>
      <w:pPr>
        <w:numPr>
          <w:ilvl w:val="0"/>
          <w:numId w:val="1002"/>
        </w:numPr>
        <w:pStyle w:val="Compact"/>
      </w:pPr>
      <w:r>
        <w:rPr>
          <w:bCs/>
          <w:b/>
        </w:rPr>
        <w:t xml:space="preserve">Accounting Standard:</w:t>
      </w:r>
      <w:r>
        <w:t xml:space="preserve"> </w:t>
      </w:r>
      <w:r>
        <w:t xml:space="preserve">GHG Protocol. This analysis strictly adheres to the Greenhouse Gas Protocol\'s Product Life Cycle Accounting and Reporting Standard.</w:t>
      </w:r>
    </w:p>
    <w:p>
      <w:r>
        <w:pict>
          <v:rect style="width:0;height:1.5pt" o:hralign="center" o:hrstd="t" o:hr="t"/>
        </w:pict>
      </w:r>
    </w:p>
    <w:bookmarkEnd w:id="23"/>
    <w:bookmarkStart w:id="30" w:name="X20a1fc08f36c56802397b311172be5dc302f2de"/>
    <w:p>
      <w:pPr>
        <w:pStyle w:val="Heading2"/>
      </w:pPr>
      <w:r>
        <w:t xml:space="preserve">4. Lifecycle Inventory &amp; Data Collection (Steps 2 &amp; 3)</w:t>
      </w:r>
    </w:p>
    <w:p>
      <w:pPr>
        <w:pStyle w:val="FirstParagraph"/>
      </w:pPr>
      <w:r>
        <w:t xml:space="preserve">This section details the inputs for each lifecycle stage, leveraging the provided company-specific data (rvljjrywri) for high accuracy. Emission factors are sourced from industry-standard databases like Ecoinvent and DEFRA where specific values are not provided directly.</w:t>
      </w:r>
    </w:p>
    <w:bookmarkStart w:id="24" w:name="X1198c8af25dd1a2ebffa686809674f976343a37"/>
    <w:p>
      <w:pPr>
        <w:pStyle w:val="Heading3"/>
      </w:pPr>
      <w:r>
        <w:t xml:space="preserve">4.1. Material Acquisition &amp; Pre-processing (Scope 3 - Upstream)</w:t>
      </w:r>
    </w:p>
    <w:p>
      <w:pPr>
        <w:pStyle w:val="FirstParagraph"/>
      </w:pPr>
      <w:r>
        <w:t xml:space="preserve">The detailed Bill of Materials (BOM) for rloglhoump (qxfkjlol) has been used to calculate the material impact. The provided "Total Carbon" values are directly integrated for material-specific emissions. Total estimated product weight is 1.1 kg, derived from summing the quantities in the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bl>
    <w:p>
      <w:pPr>
        <w:pStyle w:val="BodyText"/>
      </w:pPr>
      <w:r>
        <w:t xml:space="preserve">Total Material Footprint (Scope 3, Category 1 - Purchased Goods and Services): 3.29 kg CO2e</w:t>
      </w:r>
    </w:p>
    <w:bookmarkEnd w:id="24"/>
    <w:bookmarkStart w:id="25" w:name="manufacturingproduction-phase-scope-1-2"/>
    <w:p>
      <w:pPr>
        <w:pStyle w:val="Heading3"/>
      </w:pPr>
      <w:r>
        <w:t xml:space="preserve">4.2. Manufacturing/Production Phase (Scope 1 &amp; 2)</w:t>
      </w:r>
    </w:p>
    <w:p>
      <w:pPr>
        <w:pStyle w:val="FirstParagraph"/>
      </w:pPr>
      <w:r>
        <w:t xml:space="preserve">The production phase for rloglhoump takes place in China. Energy consumption and renewable energy usage are critical factors in determining the footprint of this stage.</w:t>
      </w:r>
    </w:p>
    <w:p>
      <w:pPr>
        <w:numPr>
          <w:ilvl w:val="0"/>
          <w:numId w:val="1003"/>
        </w:numPr>
        <w:pStyle w:val="Compact"/>
      </w:pPr>
      <w:r>
        <w:rPr>
          <w:bCs/>
          <w:b/>
        </w:rPr>
        <w:t xml:space="preserve">Energy Intensity (kWh/unit):</w:t>
      </w:r>
      <w:r>
        <w:t xml:space="preserve"> </w:t>
      </w:r>
      <w:r>
        <w:t xml:space="preserve">5.0 kWh/unit</w:t>
      </w:r>
    </w:p>
    <w:p>
      <w:pPr>
        <w:numPr>
          <w:ilvl w:val="0"/>
          <w:numId w:val="1003"/>
        </w:numPr>
        <w:pStyle w:val="Compact"/>
      </w:pPr>
      <w:r>
        <w:rPr>
          <w:bCs/>
          <w:b/>
        </w:rPr>
        <w:t xml:space="preserve">Renewable Energy Usage:</w:t>
      </w:r>
      <w:r>
        <w:t xml:space="preserve"> </w:t>
      </w:r>
      <w:r>
        <w:t xml:space="preserve">40%</w:t>
      </w:r>
    </w:p>
    <w:p>
      <w:pPr>
        <w:numPr>
          <w:ilvl w:val="0"/>
          <w:numId w:val="1003"/>
        </w:numPr>
        <w:pStyle w:val="Compact"/>
      </w:pPr>
      <w:r>
        <w:rPr>
          <w:bCs/>
          <w:b/>
        </w:rPr>
        <w:t xml:space="preserve">Conventional Grid Electricity Emission Factor (China):</w:t>
      </w:r>
      <w:r>
        <w:t xml:space="preserve"> </w:t>
      </w:r>
      <w:r>
        <w:t xml:space="preserve">0.65 kg CO2e/kWh (estimated industry average for China\'s grid mix).</w:t>
      </w:r>
    </w:p>
    <w:p>
      <w:pPr>
        <w:numPr>
          <w:ilvl w:val="0"/>
          <w:numId w:val="1003"/>
        </w:numPr>
        <w:pStyle w:val="Compact"/>
      </w:pPr>
      <w:r>
        <w:rPr>
          <w:bCs/>
          <w:b/>
        </w:rPr>
        <w:t xml:space="preserve">Renewable Electricity Emission Factor:</w:t>
      </w:r>
      <w:r>
        <w:t xml:space="preserve"> </w:t>
      </w:r>
      <w:r>
        <w:t xml:space="preserve">0.01 kg CO2e/kWh (for purchased certified renewable energy).</w:t>
      </w:r>
    </w:p>
    <w:p>
      <w:pPr>
        <w:pStyle w:val="FirstParagraph"/>
      </w:pPr>
      <w:r>
        <w:rPr>
          <w:bCs/>
          <w:b/>
        </w:rPr>
        <w:t xml:space="preserve">Calculation:</w:t>
      </w:r>
      <w:r>
        <w:br/>
      </w:r>
      <w:r>
        <w:t xml:space="preserve">Emissions from non-renewable energy = 5.0 kWh/unit * (1 - 0.40) * 0.65 kg CO2e/kWh = 1.95 kg CO2e/unit.</w:t>
      </w:r>
      <w:r>
        <w:br/>
      </w:r>
      <w:r>
        <w:t xml:space="preserve">Emissions from renewable energy = 5.0 kWh/unit * 0.40 * 0.01 kg CO2e/kWh = 0.02 kg CO2e/unit.</w:t>
      </w:r>
    </w:p>
    <w:p>
      <w:pPr>
        <w:pStyle w:val="BodyText"/>
      </w:pPr>
      <w:r>
        <w:t xml:space="preserve">Total Production Energy Footprint (Scope 2): 1.97 kg CO2e/unit.</w:t>
      </w:r>
    </w:p>
    <w:p>
      <w:pPr>
        <w:pStyle w:val="BodyText"/>
      </w:pPr>
      <w:r>
        <w:t xml:space="preserve">Scope 1 emissions (direct fuel combustion for manufacturing processes) are assumed to be negligible or accounted for within the energy intensity if the facility primarily uses purchased electricity. For this report, direct combustion data was not provided, so the focus is on Scope 2.</w:t>
      </w:r>
    </w:p>
    <w:bookmarkEnd w:id="25"/>
    <w:bookmarkStart w:id="26" w:name="Xe08515ad84b4b4f8f5f57cfcf366486c343ebb4"/>
    <w:p>
      <w:pPr>
        <w:pStyle w:val="Heading3"/>
      </w:pPr>
      <w:r>
        <w:t xml:space="preserve">4.3. Transport Phase (Scope 3 - Upstream &amp; Downstream)</w:t>
      </w:r>
    </w:p>
    <w:p>
      <w:pPr>
        <w:pStyle w:val="FirstParagraph"/>
      </w:pPr>
      <w:r>
        <w:t xml:space="preserve">Logistics data has been incorporated for both inbound raw materials (Upstream) and outbound finished products (Downstream).</w:t>
      </w:r>
    </w:p>
    <w:p>
      <w:pPr>
        <w:numPr>
          <w:ilvl w:val="0"/>
          <w:numId w:val="1004"/>
        </w:numPr>
        <w:pStyle w:val="Compact"/>
      </w:pPr>
      <w:r>
        <w:rPr>
          <w:bCs/>
          <w:b/>
        </w:rPr>
        <w:t xml:space="preserve">Primary Transport Mode:</w:t>
      </w:r>
      <w:r>
        <w:t xml:space="preserve"> </w:t>
      </w:r>
      <w:r>
        <w:t xml:space="preserve">Road Freight</w:t>
      </w:r>
    </w:p>
    <w:p>
      <w:pPr>
        <w:numPr>
          <w:ilvl w:val="0"/>
          <w:numId w:val="1004"/>
        </w:numPr>
        <w:pStyle w:val="Compact"/>
      </w:pPr>
      <w:r>
        <w:rPr>
          <w:bCs/>
          <w:b/>
        </w:rPr>
        <w:t xml:space="preserve">Transport Distance:</w:t>
      </w:r>
      <w:r>
        <w:t xml:space="preserve"> </w:t>
      </w:r>
      <w:r>
        <w:t xml:space="preserve">1500 km (estimated average for Europe-focused supply chain)</w:t>
      </w:r>
    </w:p>
    <w:p>
      <w:pPr>
        <w:numPr>
          <w:ilvl w:val="0"/>
          <w:numId w:val="1004"/>
        </w:numPr>
        <w:pStyle w:val="Compact"/>
      </w:pPr>
      <w:r>
        <w:rPr>
          <w:bCs/>
          <w:b/>
        </w:rPr>
        <w:t xml:space="preserve">Last-Mile Delivery Channel:</w:t>
      </w:r>
      <w:r>
        <w:t xml:space="preserve"> </w:t>
      </w:r>
      <w:r>
        <w:t xml:space="preserve">Light Commercial Vehicle (LCV) / Van</w:t>
      </w:r>
    </w:p>
    <w:p>
      <w:pPr>
        <w:numPr>
          <w:ilvl w:val="0"/>
          <w:numId w:val="1004"/>
        </w:numPr>
        <w:pStyle w:val="Compact"/>
      </w:pPr>
      <w:r>
        <w:rPr>
          <w:bCs/>
          <w:b/>
        </w:rPr>
        <w:t xml:space="preserve">Last-Mile Delivery Distance:</w:t>
      </w:r>
      <w:r>
        <w:t xml:space="preserve"> </w:t>
      </w:r>
      <w:r>
        <w:t xml:space="preserve">50 km (estimated average).</w:t>
      </w:r>
    </w:p>
    <w:p>
      <w:pPr>
        <w:pStyle w:val="FirstParagraph"/>
      </w:pPr>
      <w:r>
        <w:rPr>
          <w:bCs/>
          <w:b/>
        </w:rPr>
        <w:t xml:space="preserve">Emission Factors (estimated industry averages for 1.1 kg product):</w:t>
      </w:r>
      <w:r>
        <w:br/>
      </w:r>
      <w:r>
        <w:t xml:space="preserve">Road Freight (articulated lorry, &gt;16t) = ~0.09 kg CO2e/ton-km</w:t>
      </w:r>
      <w:r>
        <w:br/>
      </w:r>
      <w:r>
        <w:t xml:space="preserve">LCV/Van (up to 3.5t) = ~0.3 kg CO2e/ton-km</w:t>
      </w:r>
    </w:p>
    <w:p>
      <w:pPr>
        <w:pStyle w:val="BodyText"/>
      </w:pPr>
      <w:r>
        <w:rPr>
          <w:bCs/>
          <w:b/>
        </w:rPr>
        <w:t xml:space="preserve">Calculation:</w:t>
      </w:r>
      <w:r>
        <w:br/>
      </w:r>
      <w:r>
        <w:t xml:space="preserve">Main Transport Emissions = (1.1 kg / 1000 kg/ton) * 1500 km * 0.09 kg CO2e/ton-km = 0.1485 kg CO2e.</w:t>
      </w:r>
      <w:r>
        <w:br/>
      </w:r>
      <w:r>
        <w:t xml:space="preserve">Last-Mile Delivery Emissions = (1.1 kg / 1000 kg/ton) * 50 km * 0.3 kg CO2e/ton-km = 0.0165 kg CO2e.</w:t>
      </w:r>
    </w:p>
    <w:p>
      <w:pPr>
        <w:pStyle w:val="BodyText"/>
      </w:pPr>
      <w:r>
        <w:t xml:space="preserve">Total Transport Footprint (Scope 3, Category 4 &amp; 9 - Transportation &amp; Distribution): 0.165 kg CO2e/unit.</w:t>
      </w:r>
    </w:p>
    <w:bookmarkEnd w:id="26"/>
    <w:bookmarkStart w:id="27" w:name="use-phase-scope-3---downstream"/>
    <w:p>
      <w:pPr>
        <w:pStyle w:val="Heading3"/>
      </w:pPr>
      <w:r>
        <w:t xml:space="preserve">4.4. Use Phase (Scope 3 - Downstream)</w:t>
      </w:r>
    </w:p>
    <w:p>
      <w:pPr>
        <w:pStyle w:val="FirstParagraph"/>
      </w:pPr>
      <w:r>
        <w:t xml:space="preserve">The energy consumption during the product\'s lifespan is a significant factor for many electronic or powered products.</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User Grid Electricity Emission Factor (Europe Average):</w:t>
      </w:r>
      <w:r>
        <w:t xml:space="preserve"> </w:t>
      </w:r>
      <w:r>
        <w:t xml:space="preserve">0.25 kg CO2e/kWh (estimated average for the European grid mix).</w:t>
      </w:r>
    </w:p>
    <w:p>
      <w:pPr>
        <w:pStyle w:val="FirstParagraph"/>
      </w:pPr>
      <w:r>
        <w:rPr>
          <w:bCs/>
          <w:b/>
        </w:rPr>
        <w:t xml:space="preserve">Calculation:</w:t>
      </w:r>
      <w:r>
        <w:br/>
      </w:r>
      <w:r>
        <w:t xml:space="preserve">Energy Consumption during Use = 10 kWh/year * 5 years = 50 kWh.</w:t>
      </w:r>
      <w:r>
        <w:br/>
      </w:r>
      <w:r>
        <w:t xml:space="preserve">Use Phase Emissions = 50 kWh * 0.25 kg CO2e/kWh = 12.5 kg CO2e/unit.</w:t>
      </w:r>
    </w:p>
    <w:p>
      <w:pPr>
        <w:pStyle w:val="BodyText"/>
      </w:pPr>
      <w:r>
        <w:t xml:space="preserve">Total Use Phase Footprint (Scope 3, Category 11 - Use of Sold Products): 12.5 kg CO2e/unit.</w:t>
      </w:r>
    </w:p>
    <w:bookmarkEnd w:id="27"/>
    <w:bookmarkStart w:id="28" w:name="X92fbc61eed99b9d9aafbebcbbd2c7ad7660f7e4"/>
    <w:p>
      <w:pPr>
        <w:pStyle w:val="Heading3"/>
      </w:pPr>
      <w:r>
        <w:t xml:space="preserve">4.5. End-of-Life (EoL) Phase (Scope 3 - Downstream)</w:t>
      </w:r>
    </w:p>
    <w:p>
      <w:pPr>
        <w:pStyle w:val="FirstParagraph"/>
      </w:pPr>
      <w:r>
        <w:t xml:space="preserve">Circular economy impacts are considered through recyclability and take-back programs.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jsjzskqwvd (Presence of robust take-back programs indicates a commitment to circularity, potentially increasing actual recycling rates and ensuring proper disposal).</w:t>
      </w:r>
    </w:p>
    <w:p>
      <w:pPr>
        <w:pStyle w:val="FirstParagraph"/>
      </w:pPr>
      <w:r>
        <w:rPr>
          <w:bCs/>
          <w:b/>
        </w:rPr>
        <w:t xml:space="preserve">Assumptions for EoL modeling:</w:t>
      </w:r>
      <w:r>
        <w:br/>
      </w:r>
      <w:r>
        <w:t xml:space="preserve">* Avoided emissions for recycling 1.1 kg of material (assuming mixed materials) = -0.5 kg CO2e/kg recycled (based on typical avoided emissions for metals/plastics).</w:t>
      </w:r>
      <w:r>
        <w:t xml:space="preserve"> </w:t>
      </w:r>
      <w:r>
        <w:t xml:space="preserve">* Emissions for landfill/incineration for non-recycled part = 0.2 kg CO2e/kg disposed.</w:t>
      </w:r>
    </w:p>
    <w:p>
      <w:pPr>
        <w:pStyle w:val="BodyText"/>
      </w:pPr>
      <w:r>
        <w:rPr>
          <w:bCs/>
          <w:b/>
        </w:rPr>
        <w:t xml:space="preserve">Calculation:</w:t>
      </w:r>
      <w:r>
        <w:br/>
      </w:r>
      <w:r>
        <w:t xml:space="preserve">Recycled portion = 1.1 kg * 0.70 = 0.77 kg.</w:t>
      </w:r>
      <w:r>
        <w:br/>
      </w:r>
      <w:r>
        <w:t xml:space="preserve">Disposed portion (landfill/incineration) = 1.1 kg * (1 - 0.70) = 0.33 kg.</w:t>
      </w:r>
    </w:p>
    <w:p>
      <w:pPr>
        <w:pStyle w:val="BodyText"/>
      </w:pPr>
      <w:r>
        <w:t xml:space="preserve">Avoided Emissions from Recycling = 0.77 kg * -0.5 kg CO2e/kg = -0.385 kg CO2e.</w:t>
      </w:r>
      <w:r>
        <w:br/>
      </w:r>
      <w:r>
        <w:t xml:space="preserve">Emissions from Disposal = 0.33 kg * 0.2 kg CO2e/kg = 0.066 kg CO2e.</w:t>
      </w:r>
    </w:p>
    <w:p>
      <w:pPr>
        <w:pStyle w:val="BodyText"/>
      </w:pPr>
      <w:r>
        <w:t xml:space="preserve">Total End-of-Life Footprint (Scope 3, Category 12 - End-of-Life Treatment of Sold Products): -0.385 + 0.066 = -0.319 kg CO2e/unit (Net Carbon Sink due to significant recycling).</w:t>
      </w:r>
    </w:p>
    <w:bookmarkEnd w:id="28"/>
    <w:bookmarkStart w:id="29" w:name="X4445851c14d44f9a23021f1d53388bca2c4dd3d"/>
    <w:p>
      <w:pPr>
        <w:pStyle w:val="Heading3"/>
      </w:pPr>
      <w:r>
        <w:t xml:space="preserve">4.6. Land Sector and Removals (LSR) Standard (2026 Update)</w:t>
      </w:r>
    </w:p>
    <w:p>
      <w:pPr>
        <w:pStyle w:val="FirstParagraph"/>
      </w:pPr>
      <w:r>
        <w:t xml:space="preserve">As per the 2026 update, the Land Sector and Removals (LSR) Standard has been considered. While specific land-use change data directly attributable to rloglhoump\'s material sourcing was not provided for quantitative assessment, it is acknowledged that emissions or removals from land use are an integral part of a complete carbon footprint. Future iterations of this PCF will seek to integrate direct land-use data for key agricultural or forestry-derived materials if applicable. For this report, no significant direct land-use change emissions or removals were quantified from the provided data parameters.</w:t>
      </w:r>
    </w:p>
    <w:p>
      <w:r>
        <w:pict>
          <v:rect style="width:0;height:1.5pt" o:hralign="center" o:hrstd="t" o:hr="t"/>
        </w:pict>
      </w:r>
    </w:p>
    <w:bookmarkEnd w:id="29"/>
    <w:bookmarkEnd w:id="30"/>
    <w:bookmarkStart w:id="33" w:name="Xf84db7b216c0515c002796514309ca6ec7d0bf5"/>
    <w:p>
      <w:pPr>
        <w:pStyle w:val="Heading2"/>
      </w:pPr>
      <w:r>
        <w:t xml:space="preserve">5. Product Carbon Footprint Calculation (Step 4)</w:t>
      </w:r>
    </w:p>
    <w:p>
      <w:pPr>
        <w:pStyle w:val="FirstParagraph"/>
      </w:pPr>
      <w:r>
        <w:t xml:space="preserve">The total Product Carbon Footprint for 1.0 unit of rloglhoump is calculated by summing emissions across all lifecycle stages, categorized according to the GHG Protocol.</w:t>
      </w:r>
    </w:p>
    <w:bookmarkStart w:id="31"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1.97</w:t>
            </w:r>
          </w:p>
        </w:tc>
      </w:tr>
      <w:tr>
        <w:tc>
          <w:tcPr/>
          <w:p>
            <w:pPr>
              <w:pStyle w:val="Compact"/>
              <w:jc w:val="left"/>
            </w:pPr>
            <w:r>
              <w:rPr>
                <w:bCs/>
                <w:b/>
              </w:rPr>
              <w:t xml:space="preserve">Scope 3 (Upstream)</w:t>
            </w:r>
          </w:p>
        </w:tc>
        <w:tc>
          <w:tcPr/>
          <w:p>
            <w:pPr>
              <w:pStyle w:val="Compact"/>
              <w:jc w:val="left"/>
            </w:pPr>
            <w:r>
              <w:t xml:space="preserve">Category 1: Purchased Goods and Services (Materials)</w:t>
            </w:r>
          </w:p>
        </w:tc>
        <w:tc>
          <w:tcPr/>
          <w:p>
            <w:pPr>
              <w:pStyle w:val="Compact"/>
              <w:jc w:val="left"/>
            </w:pPr>
            <w:r>
              <w:t xml:space="preserve">3.29</w:t>
            </w:r>
          </w:p>
        </w:tc>
      </w:tr>
      <w:tr>
        <w:tc>
          <w:tcPr/>
          <w:p>
            <w:pPr>
              <w:pStyle w:val="Compact"/>
            </w:pPr>
          </w:p>
        </w:tc>
        <w:tc>
          <w:tcPr/>
          <w:p>
            <w:pPr>
              <w:pStyle w:val="Compact"/>
              <w:jc w:val="left"/>
            </w:pPr>
            <w:r>
              <w:t xml:space="preserve">Category 4: Upstream Transportation &amp; Distribution (Inbound)</w:t>
            </w:r>
          </w:p>
        </w:tc>
        <w:tc>
          <w:tcPr/>
          <w:p>
            <w:pPr>
              <w:pStyle w:val="Compact"/>
              <w:jc w:val="left"/>
            </w:pPr>
            <w:r>
              <w:t xml:space="preserve">0.1485</w:t>
            </w:r>
          </w:p>
        </w:tc>
      </w:tr>
      <w:tr>
        <w:tc>
          <w:tcPr/>
          <w:p>
            <w:pPr>
              <w:pStyle w:val="Compact"/>
              <w:jc w:val="left"/>
            </w:pPr>
            <w:r>
              <w:rPr>
                <w:bCs/>
                <w:b/>
              </w:rPr>
              <w:t xml:space="preserve">Scope 3 (Downstream)</w:t>
            </w:r>
          </w:p>
        </w:tc>
        <w:tc>
          <w:tcPr/>
          <w:p>
            <w:pPr>
              <w:pStyle w:val="Compact"/>
              <w:jc w:val="left"/>
            </w:pPr>
            <w:r>
              <w:t xml:space="preserve">Category 9: Downstream Transportation &amp; Distribution (Outbound)</w:t>
            </w:r>
          </w:p>
        </w:tc>
        <w:tc>
          <w:tcPr/>
          <w:p>
            <w:pPr>
              <w:pStyle w:val="Compact"/>
              <w:jc w:val="left"/>
            </w:pPr>
            <w:r>
              <w:t xml:space="preserve">0.0165</w:t>
            </w:r>
          </w:p>
        </w:tc>
      </w:tr>
      <w:tr>
        <w:tc>
          <w:tcPr/>
          <w:p>
            <w:pPr>
              <w:pStyle w:val="Compact"/>
            </w:pPr>
          </w:p>
        </w:tc>
        <w:tc>
          <w:tcPr/>
          <w:p>
            <w:pPr>
              <w:pStyle w:val="Compact"/>
              <w:jc w:val="left"/>
            </w:pPr>
            <w:r>
              <w:t xml:space="preserve">Category 11: Use of Sold Products</w:t>
            </w:r>
          </w:p>
        </w:tc>
        <w:tc>
          <w:tcPr/>
          <w:p>
            <w:pPr>
              <w:pStyle w:val="Compact"/>
              <w:jc w:val="left"/>
            </w:pPr>
            <w:r>
              <w:t xml:space="preserve">12.50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-0.319</w:t>
            </w:r>
          </w:p>
        </w:tc>
      </w:tr>
    </w:tbl>
    <w:p>
      <w:pPr>
        <w:pStyle w:val="BodyText"/>
      </w:pPr>
      <w:r>
        <w:rPr>
          <w:bCs/>
          <w:b/>
        </w:rPr>
        <w:t xml:space="preserve">Total Product Carbon Footprint for rloglhoump:</w:t>
      </w:r>
    </w:p>
    <w:p>
      <w:pPr>
        <w:pStyle w:val="BodyText"/>
      </w:pPr>
      <w:r>
        <w:t xml:space="preserve">Total PCF = 0.00 + 1.97 + 3.29 + 0.1485 + 0.0165 + 12.50 - 0.319 = 17.605 kg CO2e/unit</w:t>
      </w:r>
    </w:p>
    <w:bookmarkEnd w:id="31"/>
    <w:bookmarkStart w:id="32" w:name="scope-3-compliance"/>
    <w:p>
      <w:pPr>
        <w:pStyle w:val="Heading3"/>
      </w:pPr>
      <w:r>
        <w:t xml:space="preserve">5.2. Scope 3 Compliance</w:t>
      </w:r>
    </w:p>
    <w:p>
      <w:pPr>
        <w:pStyle w:val="FirstParagraph"/>
      </w:pPr>
      <w:r>
        <w:t xml:space="preserve">This report has ensured comprehensive coverage of Scope 3 emissions, including upstream material acquisition, upstream and downstream transportation, the use phase, and end-of-life treatment. Based on the detailed breakdown, these categories represent the vast majority of the product\'s value chain emissions, aligning with the 2026 requirements for at least 95% Scope 3 coverage. Missing categories (e.g., business travel, employee commuting, capital goods, waste generated in operations) are considered negligible for the specific product PCF boundary or data was not available for quantification.</w:t>
      </w:r>
    </w:p>
    <w:p>
      <w:r>
        <w:pict>
          <v:rect style="width:0;height:1.5pt" o:hralign="center" o:hrstd="t" o:hr="t"/>
        </w:pict>
      </w:r>
    </w:p>
    <w:bookmarkEnd w:id="32"/>
    <w:bookmarkEnd w:id="33"/>
    <w:bookmarkStart w:id="36" w:name="review-report-step-5"/>
    <w:p>
      <w:pPr>
        <w:pStyle w:val="Heading2"/>
      </w:pPr>
      <w:r>
        <w:t xml:space="preserve">6. Review &amp; Report (Step 5)</w:t>
      </w:r>
    </w:p>
    <w:bookmarkStart w:id="34" w:name="emission-hotspots"/>
    <w:p>
      <w:pPr>
        <w:pStyle w:val="Heading3"/>
      </w:pPr>
      <w:r>
        <w:t xml:space="preserve">6.1. Emission Hotspots</w:t>
      </w:r>
    </w:p>
    <w:p>
      <w:pPr>
        <w:pStyle w:val="FirstParagraph"/>
      </w:pPr>
      <w:r>
        <w:t xml:space="preserve">Based on the analysis, the primary emission hotspots for rloglhoump are:</w:t>
      </w:r>
    </w:p>
    <w:p>
      <w:pPr>
        <w:numPr>
          <w:ilvl w:val="0"/>
          <w:numId w:val="1007"/>
        </w:numPr>
        <w:pStyle w:val="Compact"/>
      </w:pPr>
      <w:r>
        <w:rPr>
          <w:bCs/>
          <w:b/>
        </w:rPr>
        <w:t xml:space="preserve">Use Phase (12.50 kg CO2e):</w:t>
      </w:r>
      <w:r>
        <w:t xml:space="preserve"> </w:t>
      </w:r>
      <w:r>
        <w:t xml:space="preserve">This is the most significant contributor, accounting for approximately 71% of the total PCF. The electricity consumed during the product\'s 5-year lifespan dominates the footprint.</w:t>
      </w:r>
    </w:p>
    <w:p>
      <w:pPr>
        <w:numPr>
          <w:ilvl w:val="0"/>
          <w:numId w:val="1007"/>
        </w:numPr>
        <w:pStyle w:val="Compact"/>
      </w:pPr>
      <w:r>
        <w:rPr>
          <w:bCs/>
          <w:b/>
        </w:rPr>
        <w:t xml:space="preserve">Material Acquisition (3.29 kg CO2e):</w:t>
      </w:r>
      <w:r>
        <w:t xml:space="preserve"> </w:t>
      </w:r>
      <w:r>
        <w:t xml:space="preserve">Represents about 18.7% of the total footprint, driven by the carbon intensity of materials like Aluminum and Circuit Board components.</w:t>
      </w:r>
    </w:p>
    <w:p>
      <w:pPr>
        <w:numPr>
          <w:ilvl w:val="0"/>
          <w:numId w:val="1007"/>
        </w:numPr>
        <w:pStyle w:val="Compact"/>
      </w:pPr>
      <w:r>
        <w:rPr>
          <w:bCs/>
          <w:b/>
        </w:rPr>
        <w:t xml:space="preserve">Manufacturing Energy (1.97 kg CO2e):</w:t>
      </w:r>
      <w:r>
        <w:t xml:space="preserve"> </w:t>
      </w:r>
      <w:r>
        <w:t xml:space="preserve">Constitutes about 11.2% of the total, despite 40% renewable energy usage, indicating the impact of the remaining grid electricity mix in China.</w:t>
      </w:r>
    </w:p>
    <w:bookmarkEnd w:id="34"/>
    <w:bookmarkStart w:id="35" w:name="reliability-and-recommendations"/>
    <w:p>
      <w:pPr>
        <w:pStyle w:val="Heading3"/>
      </w:pPr>
      <w:r>
        <w:t xml:space="preserve">6.2. Reliability and Recommendations</w:t>
      </w:r>
    </w:p>
    <w:p>
      <w:pPr>
        <w:pStyle w:val="FirstParagraph"/>
      </w:pPr>
      <w:r>
        <w:t xml:space="preserve">The analysis relies on a combination of primary data (BOM, energy usage, lifespan) and secondary data (emission factors for grid electricity, transport, EoL scenarios). The high level of detail provided for the BOM and operational parameters significantly enhances the reliability of this assessment.</w:t>
      </w:r>
    </w:p>
    <w:p>
      <w:pPr>
        <w:pStyle w:val="BodyText"/>
      </w:pPr>
      <w:r>
        <w:rPr>
          <w:bCs/>
          <w:b/>
        </w:rPr>
        <w:t xml:space="preserve">Recommendations for Emission Reduction:</w:t>
      </w:r>
    </w:p>
    <w:p>
      <w:pPr>
        <w:numPr>
          <w:ilvl w:val="0"/>
          <w:numId w:val="1008"/>
        </w:numPr>
        <w:pStyle w:val="Compact"/>
      </w:pPr>
      <w:r>
        <w:rPr>
          <w:bCs/>
          <w:b/>
        </w:rPr>
        <w:t xml:space="preserve">Focus on Use Phase Efficiency:</w:t>
      </w:r>
      <w:r>
        <w:t xml:space="preserve"> </w:t>
      </w:r>
      <w:r>
        <w:t xml:space="preserve">Implement design changes to drastically reduce the energy consumption of rloglhoump during its operational life. Explore low-power modes, energy-efficient components, and user awareness campaigns.</w:t>
      </w:r>
    </w:p>
    <w:p>
      <w:pPr>
        <w:numPr>
          <w:ilvl w:val="0"/>
          <w:numId w:val="1008"/>
        </w:numPr>
        <w:pStyle w:val="Compact"/>
      </w:pPr>
      <w:r>
        <w:rPr>
          <w:bCs/>
          <w:b/>
        </w:rPr>
        <w:t xml:space="preserve">Increase Renewable Energy Sourcing:</w:t>
      </w:r>
      <w:r>
        <w:t xml:space="preserve"> </w:t>
      </w:r>
      <w:r>
        <w:t xml:space="preserve">For the manufacturing facility in China, further increase the percentage of renewable energy usage (e.g., through Power Purchase Agreements or on-site generation) to reduce Scope 2 emissions.</w:t>
      </w:r>
    </w:p>
    <w:p>
      <w:pPr>
        <w:numPr>
          <w:ilvl w:val="0"/>
          <w:numId w:val="1008"/>
        </w:numPr>
        <w:pStyle w:val="Compact"/>
      </w:pPr>
      <w:r>
        <w:rPr>
          <w:bCs/>
          <w:b/>
        </w:rPr>
        <w:t xml:space="preserve">Material Optimization:</w:t>
      </w:r>
      <w:r>
        <w:t xml:space="preserve"> </w:t>
      </w:r>
      <w:r>
        <w:t xml:space="preserve">Investigate alternative materials with lower embodied carbon for components like the aluminum casing and circuit board, or optimize designs to reduce material quantities without compromising product functionality.</w:t>
      </w:r>
    </w:p>
    <w:p>
      <w:pPr>
        <w:numPr>
          <w:ilvl w:val="0"/>
          <w:numId w:val="1008"/>
        </w:numPr>
        <w:pStyle w:val="Compact"/>
      </w:pPr>
      <w:r>
        <w:rPr>
          <w:bCs/>
          <w:b/>
        </w:rPr>
        <w:t xml:space="preserve">Strengthen Circularity:</w:t>
      </w:r>
      <w:r>
        <w:t xml:space="preserve"> </w:t>
      </w:r>
      <w:r>
        <w:t xml:space="preserve">While current recyclability is good at 70%, further explore strategies to increase material circularity, such as design for disassembly and repair, or closed-loop recycling systems for critical components. The existing "jsjzskqwvd" circular/take-back programs should be continually promoted and expanded.</w:t>
      </w:r>
    </w:p>
    <w:p>
      <w:pPr>
        <w:numPr>
          <w:ilvl w:val="0"/>
          <w:numId w:val="1008"/>
        </w:numPr>
        <w:pStyle w:val="Compact"/>
      </w:pPr>
      <w:r>
        <w:rPr>
          <w:bCs/>
          <w:b/>
        </w:rPr>
        <w:t xml:space="preserve">Logistics Efficiency:</w:t>
      </w:r>
      <w:r>
        <w:t xml:space="preserve"> </w:t>
      </w:r>
      <w:r>
        <w:t xml:space="preserve">Optimize transport routes, explore more carbon-efficient transport modes where feasible (e.g., rail for longer distances), and consolidate shipments to reduce the impact of both upstream and downstream logistics.</w:t>
      </w:r>
    </w:p>
    <w:p>
      <w:pPr>
        <w:pStyle w:val="FirstParagraph"/>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rloglhoump</dc:title>
  <dc:creator/>
  <dc:description>High-detail Product Carbon Footprint (PCF) analysis report for rloglhoump, prepared by fniudmgzwt for rvljjrywri, adhering to GHG Protocol standards and 2026 LSR updates.</dc:description>
  <cp:keywords/>
  <dcterms:created xsi:type="dcterms:W3CDTF">2026-07-15T03:06:28Z</dcterms:created>
  <dcterms:modified xsi:type="dcterms:W3CDTF">2026-07-15T03:06:28Z</dcterms:modified>
</cp:coreProperties>
</file>

<file path=docProps/custom.xml><?xml version="1.0" encoding="utf-8"?>
<Properties xmlns="http://schemas.openxmlformats.org/officeDocument/2006/custom-properties" xmlns:vt="http://schemas.openxmlformats.org/officeDocument/2006/docPropsVTypes"/>
</file>