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rljrouexml</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rljrouexml"/>
    <w:p>
      <w:pPr>
        <w:pStyle w:val="Heading2"/>
      </w:pPr>
      <w:r>
        <w:t xml:space="preserve">For Product: rljrouexml</w:t>
      </w:r>
    </w:p>
    <w:p>
      <w:pPr>
        <w:pStyle w:val="FirstParagraph"/>
      </w:pPr>
      <w:r>
        <w:rPr>
          <w:bCs/>
          <w:b/>
        </w:rPr>
        <w:t xml:space="preserve">Company Name:</w:t>
      </w:r>
      <w:r>
        <w:t xml:space="preserve"> </w:t>
      </w:r>
      <w:r>
        <w:t xml:space="preserve">nwztgmhydx</w:t>
      </w:r>
    </w:p>
    <w:p>
      <w:pPr>
        <w:pStyle w:val="BodyText"/>
      </w:pPr>
      <w:r>
        <w:rPr>
          <w:bCs/>
          <w:b/>
        </w:rPr>
        <w:t xml:space="preserve">Senior Sustainability Consultant:</w:t>
      </w:r>
      <w:r>
        <w:t xml:space="preserve"> </w:t>
      </w:r>
      <w:r>
        <w:t xml:space="preserve">jmpulsvuee</w:t>
      </w:r>
    </w:p>
    <w:p>
      <w:pPr>
        <w:pStyle w:val="BodyText"/>
      </w:pPr>
      <w:r>
        <w:rPr>
          <w:bCs/>
          <w:b/>
        </w:rPr>
        <w:t xml:space="preserve">Protocol Data (Accounting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While every effort has been made to ensure accuracy, the actual carbon footprint may vary depending on real-time operational data, specific supplier emissions, and the dynamic nature of global supply chains. Some numerical inputs for calculation are illustrative due to placeholder parameters.</w:t>
      </w:r>
    </w:p>
    <w:bookmarkEnd w:id="20"/>
    <w:bookmarkEnd w:id="21"/>
    <w:p>
      <w:r>
        <w:pict>
          <v:rect style="width:0;height:1.5pt" o:hralign="center" o:hrstd="t" o:hr="t"/>
        </w:pict>
      </w:r>
    </w:p>
    <w:bookmarkStart w:id="22" w:name="X00ef9b276f43431e0959fd1ce6fe465f9c4be65"/>
    <w:p>
      <w:pPr>
        <w:pStyle w:val="Heading1"/>
      </w:pPr>
      <w:r>
        <w:t xml:space="preserve">Product Carbon Footprint Analysis: rljrouexml</w:t>
      </w:r>
    </w:p>
    <w:p>
      <w:pPr>
        <w:pStyle w:val="FirstParagraph"/>
      </w:pPr>
      <w:r>
        <w:t xml:space="preserve">Generated Date: May 25,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rljrouexml, manufactured by nwztgmhydx. The analysis was conducted by jmpulsvuee, Senior Sustainability Consultant, adhering strictly to the GHG Protocol. The assessment covers the entire product lifecycle from raw material acquisition through manufacturing, transport, use, and end-of-life, with a specific focus on achieving at least 95% Scope 3 coverage as per 2026 requirements and applying the Land Sector and Removals (LSR) Standard. The aim is to identify major emission hotspots and provide actionable insights for emission reduction strategies.</w:t>
      </w:r>
    </w:p>
    <w:p>
      <w:r>
        <w:pict>
          <v:rect style="width:0;height:1.5pt" o:hralign="center" o:hrstd="t" o:hr="t"/>
        </w:pict>
      </w:r>
    </w:p>
    <w:bookmarkEnd w:id="23"/>
    <w:bookmarkStart w:id="24" w:name="defining-the-scope"/>
    <w:p>
      <w:pPr>
        <w:pStyle w:val="Heading2"/>
      </w:pPr>
      <w:r>
        <w:t xml:space="preserve">1. Defining the Scope</w:t>
      </w:r>
    </w:p>
    <w:p>
      <w:pPr>
        <w:pStyle w:val="FirstParagraph"/>
      </w:pPr>
      <w:r>
        <w:t xml:space="preserve">The foundation of this PCF analysis is built upon clear scope definitions, ensuring a comprehensive and accurate assessment:</w:t>
      </w:r>
    </w:p>
    <w:p>
      <w:pPr>
        <w:numPr>
          <w:ilvl w:val="0"/>
          <w:numId w:val="1001"/>
        </w:numPr>
        <w:pStyle w:val="Compact"/>
      </w:pPr>
      <w:r>
        <w:rPr>
          <w:bCs/>
          <w:b/>
        </w:rPr>
        <w:t xml:space="preserve">Functional Unit:</w:t>
      </w:r>
      <w:r>
        <w:t xml:space="preserve"> </w:t>
      </w:r>
      <w:r>
        <w:t xml:space="preserve">1.0 unit of rljrouexml.</w:t>
      </w:r>
    </w:p>
    <w:p>
      <w:pPr>
        <w:numPr>
          <w:ilvl w:val="0"/>
          <w:numId w:val="1001"/>
        </w:numPr>
        <w:pStyle w:val="Compact"/>
      </w:pPr>
      <w:r>
        <w:rPr>
          <w:bCs/>
          <w:b/>
        </w:rPr>
        <w:t xml:space="preserve">System Boundary:</w:t>
      </w:r>
      <w:r>
        <w:t xml:space="preserve"> </w:t>
      </w:r>
      <w:r>
        <w:t xml:space="preserve">Cradle-to-gate (factory_gate) for direct operational control, extended to include downstream transport, use, and end-of-life for comprehensive Scope 3 analysis.</w:t>
      </w:r>
    </w:p>
    <w:p>
      <w:pPr>
        <w:numPr>
          <w:ilvl w:val="0"/>
          <w:numId w:val="1001"/>
        </w:numPr>
        <w:pStyle w:val="Compact"/>
      </w:pPr>
      <w:r>
        <w:rPr>
          <w:bCs/>
          <w:b/>
        </w:rPr>
        <w:t xml:space="preserve">Geographic Scope:</w:t>
      </w:r>
      <w:r>
        <w:t xml:space="preserve"> </w:t>
      </w:r>
      <w:r>
        <w:t xml:space="preserve">Final Production Country: China, with a Supply Chain Focus on Europe.</w:t>
      </w:r>
    </w:p>
    <w:p>
      <w:pPr>
        <w:numPr>
          <w:ilvl w:val="0"/>
          <w:numId w:val="1001"/>
        </w:numPr>
        <w:pStyle w:val="Compact"/>
      </w:pPr>
      <w:r>
        <w:rPr>
          <w:bCs/>
          <w:b/>
        </w:rPr>
        <w:t xml:space="preserve">Accounting Standard:</w:t>
      </w:r>
      <w:r>
        <w:t xml:space="preserve"> </w:t>
      </w:r>
      <w:r>
        <w:t xml:space="preserve">The Greenhouse Gas (GHG) Protocol Product Standard is strictly followed, categorizing emissions into Scope 1 (direct emissions), Scope 2 (indirect emissions from purchased energy), and Scope 3 (all other indirect emissions from the value chain). The 2026 Land Sector and Removals (LSR) Standard update has been applied for land use and carbon removals.</w:t>
      </w:r>
    </w:p>
    <w:p>
      <w:pPr>
        <w:numPr>
          <w:ilvl w:val="0"/>
          <w:numId w:val="1001"/>
        </w:numPr>
        <w:pStyle w:val="Compact"/>
      </w:pPr>
      <w:r>
        <w:rPr>
          <w:bCs/>
          <w:b/>
        </w:rPr>
        <w:t xml:space="preserve">Allocation:</w:t>
      </w:r>
      <w:r>
        <w:t xml:space="preserve"> </w:t>
      </w:r>
      <w:r>
        <w:t xml:space="preserve">Mass-based allocation is applied where co-products or by-products occur in multi-output processes.</w:t>
      </w:r>
    </w:p>
    <w:p>
      <w:r>
        <w:pict>
          <v:rect style="width:0;height:1.5pt" o:hralign="center" o:hrstd="t" o:hr="t"/>
        </w:pict>
      </w:r>
    </w:p>
    <w:bookmarkEnd w:id="24"/>
    <w:bookmarkStart w:id="30" w:name="mapping-the-lifecycle-3.-collecting-data"/>
    <w:p>
      <w:pPr>
        <w:pStyle w:val="Heading2"/>
      </w:pPr>
      <w:r>
        <w:t xml:space="preserve">2. Mapping the Lifecycle &amp; 3. Collecting Data</w:t>
      </w:r>
    </w:p>
    <w:p>
      <w:pPr>
        <w:pStyle w:val="FirstParagraph"/>
      </w:pPr>
      <w:r>
        <w:t xml:space="preserve">The lifecycle of rljrouexml is mapped across five main stages, from material acquisition to end-of-life. Data collection involved leveraging primary data points where available and supplementing with robust secondary data (industry-standard emission factors) for comprehensive coverage. For Scope 3 reporting, a target of at least 95% coverage has been ensured as per 2026 requirements.</w:t>
      </w:r>
    </w:p>
    <w:bookmarkStart w:id="25" w:name="X7dae38e7b17dbefdf5d90749e582b3fd3143e36"/>
    <w:p>
      <w:pPr>
        <w:pStyle w:val="Heading3"/>
      </w:pPr>
      <w:r>
        <w:t xml:space="preserve">2.1. Detailed Bill of Materials (BOM) Analysis: zwnhsrys</w:t>
      </w:r>
    </w:p>
    <w:p>
      <w:pPr>
        <w:pStyle w:val="FirstParagraph"/>
      </w:pPr>
      <w:r>
        <w:t xml:space="preserve">The provided Detailed Bill of Materials (BOM) serves as the primary data source for material inputs, crucial for high-accuracy material impact calculation. The \'Total Carbon\' values from the BOM are directly used in calculations, reflecting the emissions embedded in raw material extraction and production processes (often classified under Scope 3,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Sheets</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10.5</w:t>
            </w:r>
          </w:p>
        </w:tc>
        <w:tc>
          <w:tcPr/>
          <w:p>
            <w:pPr>
              <w:pStyle w:val="Compact"/>
              <w:jc w:val="left"/>
            </w:pPr>
            <w:r>
              <w:t xml:space="preserve">kg</w:t>
            </w:r>
          </w:p>
        </w:tc>
        <w:tc>
          <w:tcPr/>
          <w:p>
            <w:pPr>
              <w:pStyle w:val="Compact"/>
              <w:jc w:val="left"/>
            </w:pPr>
            <w:r>
              <w:t xml:space="preserve">8.0</w:t>
            </w:r>
          </w:p>
        </w:tc>
        <w:tc>
          <w:tcPr/>
          <w:p>
            <w:pPr>
              <w:pStyle w:val="Compact"/>
              <w:jc w:val="left"/>
            </w:pPr>
            <w:r>
              <w:t xml:space="preserve">84.0</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Injection Molding Grade</w:t>
            </w:r>
          </w:p>
        </w:tc>
        <w:tc>
          <w:tcPr/>
          <w:p>
            <w:pPr>
              <w:pStyle w:val="Compact"/>
              <w:jc w:val="left"/>
            </w:pPr>
            <w:r>
              <w:t xml:space="preserve">3.2</w:t>
            </w:r>
          </w:p>
        </w:tc>
        <w:tc>
          <w:tcPr/>
          <w:p>
            <w:pPr>
              <w:pStyle w:val="Compact"/>
              <w:jc w:val="left"/>
            </w:pPr>
            <w:r>
              <w:t xml:space="preserve">kg</w:t>
            </w:r>
          </w:p>
        </w:tc>
        <w:tc>
          <w:tcPr/>
          <w:p>
            <w:pPr>
              <w:pStyle w:val="Compact"/>
              <w:jc w:val="left"/>
            </w:pPr>
            <w:r>
              <w:t xml:space="preserve">3.5</w:t>
            </w:r>
          </w:p>
        </w:tc>
        <w:tc>
          <w:tcPr/>
          <w:p>
            <w:pPr>
              <w:pStyle w:val="Compact"/>
              <w:jc w:val="left"/>
            </w:pPr>
            <w:r>
              <w:t xml:space="preserve">11.2</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Semiconductors</w:t>
            </w:r>
          </w:p>
        </w:tc>
        <w:tc>
          <w:tcPr/>
          <w:p>
            <w:pPr>
              <w:pStyle w:val="Compact"/>
              <w:jc w:val="left"/>
            </w:pPr>
            <w:r>
              <w:t xml:space="preserve">Etching &amp; Doping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 &amp; Annealing</w:t>
            </w:r>
          </w:p>
        </w:tc>
        <w:tc>
          <w:tcPr/>
          <w:p>
            <w:pPr>
              <w:pStyle w:val="Compact"/>
              <w:jc w:val="left"/>
            </w:pPr>
            <w:r>
              <w:t xml:space="preserve">1.8</w:t>
            </w:r>
          </w:p>
        </w:tc>
        <w:tc>
          <w:tcPr/>
          <w:p>
            <w:pPr>
              <w:pStyle w:val="Compact"/>
              <w:jc w:val="left"/>
            </w:pPr>
            <w:r>
              <w:t xml:space="preserve">kg</w:t>
            </w:r>
          </w:p>
        </w:tc>
        <w:tc>
          <w:tcPr/>
          <w:p>
            <w:pPr>
              <w:pStyle w:val="Compact"/>
              <w:jc w:val="left"/>
            </w:pPr>
            <w:r>
              <w:t xml:space="preserve">4.2</w:t>
            </w:r>
          </w:p>
        </w:tc>
        <w:tc>
          <w:tcPr/>
          <w:p>
            <w:pPr>
              <w:pStyle w:val="Compact"/>
              <w:jc w:val="left"/>
            </w:pPr>
            <w:r>
              <w:t xml:space="preserve">7.56</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Battery 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 &amp; Pulp</w:t>
            </w:r>
          </w:p>
        </w:tc>
        <w:tc>
          <w:tcPr/>
          <w:p>
            <w:pPr>
              <w:pStyle w:val="Compact"/>
              <w:jc w:val="left"/>
            </w:pPr>
            <w:r>
              <w:t xml:space="preserve">Recycled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1.0</w:t>
            </w:r>
          </w:p>
        </w:tc>
        <w:tc>
          <w:tcPr/>
          <w:p>
            <w:pPr>
              <w:pStyle w:val="Compact"/>
              <w:jc w:val="left"/>
            </w:pPr>
            <w:r>
              <w:t xml:space="preserve">0.8</w:t>
            </w:r>
          </w:p>
        </w:tc>
      </w:tr>
    </w:tbl>
    <w:bookmarkEnd w:id="25"/>
    <w:bookmarkStart w:id="26" w:name="energy-inputs-for-production"/>
    <w:p>
      <w:pPr>
        <w:pStyle w:val="Heading3"/>
      </w:pPr>
      <w:r>
        <w:t xml:space="preserve">2.2. Energy Inputs for Production</w:t>
      </w:r>
    </w:p>
    <w:p>
      <w:pPr>
        <w:pStyle w:val="FirstParagraph"/>
      </w:pPr>
      <w:r>
        <w:t xml:space="preserve">The energy consumption during the manufacturing phase is a critical input for Scope 1 and Scope 2 emissions. The provided data allows for a customized assessment:</w:t>
      </w:r>
    </w:p>
    <w:p>
      <w:pPr>
        <w:numPr>
          <w:ilvl w:val="0"/>
          <w:numId w:val="1002"/>
        </w:numPr>
        <w:pStyle w:val="Compact"/>
      </w:pPr>
      <w:r>
        <w:rPr>
          <w:bCs/>
          <w:b/>
        </w:rPr>
        <w:t xml:space="preserve">Energy Intensity (kWh/unit):</w:t>
      </w:r>
      <w:r>
        <w:t xml:space="preserve"> </w:t>
      </w:r>
      <w:r>
        <w:t xml:space="preserve">jyihysfyno (e.g., assuming 50 kWh/unit for illustration)</w:t>
      </w:r>
    </w:p>
    <w:p>
      <w:pPr>
        <w:numPr>
          <w:ilvl w:val="0"/>
          <w:numId w:val="1002"/>
        </w:numPr>
        <w:pStyle w:val="Compact"/>
      </w:pPr>
      <w:r>
        <w:rPr>
          <w:bCs/>
          <w:b/>
        </w:rPr>
        <w:t xml:space="preserve">Renewable Energy Usage:</w:t>
      </w:r>
      <w:r>
        <w:t xml:space="preserve"> </w:t>
      </w:r>
      <w:r>
        <w:t xml:space="preserve">totnywjyuk (e.g., assuming 60% for illustration)</w:t>
      </w:r>
    </w:p>
    <w:p>
      <w:pPr>
        <w:pStyle w:val="FirstParagraph"/>
      </w:pPr>
      <w:r>
        <w:t xml:space="preserve">Electricity grid emission factor for China (Final Production Country) is approximately 0.75 kg CO2e/kWh (illustrative average based on recent data from 2022-2024, considering reductions from higher historical values).</w:t>
      </w:r>
    </w:p>
    <w:bookmarkEnd w:id="26"/>
    <w:bookmarkStart w:id="27" w:name="logistics-data"/>
    <w:p>
      <w:pPr>
        <w:pStyle w:val="Heading3"/>
      </w:pPr>
      <w:r>
        <w:t xml:space="preserve">2.3. Logistics Data</w:t>
      </w:r>
    </w:p>
    <w:p>
      <w:pPr>
        <w:pStyle w:val="FirstParagraph"/>
      </w:pPr>
      <w:r>
        <w:t xml:space="preserve">Transportation of raw materials to the factory and finished products to the customer significantly contributes to Scope 3 emissions. The following specific logistics data is incorporated:</w:t>
      </w:r>
    </w:p>
    <w:p>
      <w:pPr>
        <w:numPr>
          <w:ilvl w:val="0"/>
          <w:numId w:val="1003"/>
        </w:numPr>
        <w:pStyle w:val="Compact"/>
      </w:pPr>
      <w:r>
        <w:rPr>
          <w:bCs/>
          <w:b/>
        </w:rPr>
        <w:t xml:space="preserve">Primary Transport Mode:</w:t>
      </w:r>
      <w:r>
        <w:t xml:space="preserve"> </w:t>
      </w:r>
      <w:r>
        <w:t xml:space="preserve">Select Mode (e.g., Sea Freight followed by Road Freight for illustration)</w:t>
      </w:r>
    </w:p>
    <w:p>
      <w:pPr>
        <w:numPr>
          <w:ilvl w:val="0"/>
          <w:numId w:val="1003"/>
        </w:numPr>
        <w:pStyle w:val="Compact"/>
      </w:pPr>
      <w:r>
        <w:rPr>
          <w:bCs/>
          <w:b/>
        </w:rPr>
        <w:t xml:space="preserve">Transport Distance:</w:t>
      </w:r>
      <w:r>
        <w:t xml:space="preserve"> </w:t>
      </w:r>
      <w:r>
        <w:t xml:space="preserve">fvdspkynxy (e.g., 8,000 km Sea, 500 km Road for illustration)</w:t>
      </w:r>
    </w:p>
    <w:p>
      <w:pPr>
        <w:numPr>
          <w:ilvl w:val="0"/>
          <w:numId w:val="1003"/>
        </w:numPr>
        <w:pStyle w:val="Compact"/>
      </w:pPr>
      <w:r>
        <w:rPr>
          <w:bCs/>
          <w:b/>
        </w:rPr>
        <w:t xml:space="preserve">Last-Mile Delivery Channel:</w:t>
      </w:r>
      <w:r>
        <w:t xml:space="preserve"> </w:t>
      </w:r>
      <w:r>
        <w:t xml:space="preserve">Delivery Type (e.g., Parcel Courier for illustration)</w:t>
      </w:r>
    </w:p>
    <w:p>
      <w:pPr>
        <w:pStyle w:val="FirstParagraph"/>
      </w:pPr>
      <w:r>
        <w:t xml:space="preserve">Illustrative emission factors for transport (from GLEC/DEFRA):</w:t>
      </w:r>
    </w:p>
    <w:p>
      <w:pPr>
        <w:numPr>
          <w:ilvl w:val="0"/>
          <w:numId w:val="1004"/>
        </w:numPr>
        <w:pStyle w:val="Compact"/>
      </w:pPr>
      <w:r>
        <w:t xml:space="preserve">Sea Freight (container ship): 0.016 kg CO2e/tonne-km</w:t>
      </w:r>
    </w:p>
    <w:p>
      <w:pPr>
        <w:numPr>
          <w:ilvl w:val="0"/>
          <w:numId w:val="1004"/>
        </w:numPr>
        <w:pStyle w:val="Compact"/>
      </w:pPr>
      <w:r>
        <w:t xml:space="preserve">Road Freight (HGV &gt;20t, Europe): 0.092 kg CO2e/tonne-km</w:t>
      </w:r>
    </w:p>
    <w:p>
      <w:pPr>
        <w:numPr>
          <w:ilvl w:val="0"/>
          <w:numId w:val="1004"/>
        </w:numPr>
        <w:pStyle w:val="Compact"/>
      </w:pPr>
      <w:r>
        <w:t xml:space="preserve">Last-Mile (Parcel Courier): e.g., 0.15 kg CO2e/parcel-km (illustrative)</w:t>
      </w:r>
    </w:p>
    <w:bookmarkEnd w:id="27"/>
    <w:bookmarkStart w:id="28" w:name="use-phase-data"/>
    <w:p>
      <w:pPr>
        <w:pStyle w:val="Heading3"/>
      </w:pPr>
      <w:r>
        <w:t xml:space="preserve">2.4. Use Phase Data</w:t>
      </w:r>
    </w:p>
    <w:p>
      <w:pPr>
        <w:pStyle w:val="FirstParagraph"/>
      </w:pPr>
      <w:r>
        <w:t xml:space="preserve">The use phase can be a significant contributor to a product\'s overall footprint, especially for energy-consuming products. Specific durability and consumption data are used:</w:t>
      </w:r>
    </w:p>
    <w:p>
      <w:pPr>
        <w:numPr>
          <w:ilvl w:val="0"/>
          <w:numId w:val="1005"/>
        </w:numPr>
        <w:pStyle w:val="Compact"/>
      </w:pPr>
      <w:r>
        <w:rPr>
          <w:bCs/>
          <w:b/>
        </w:rPr>
        <w:t xml:space="preserve">Product Lifespan:</w:t>
      </w:r>
      <w:r>
        <w:t xml:space="preserve"> </w:t>
      </w:r>
      <w:r>
        <w:t xml:space="preserve">ymuuqtksph (e.g., 5 years for illustration)</w:t>
      </w:r>
    </w:p>
    <w:p>
      <w:pPr>
        <w:numPr>
          <w:ilvl w:val="0"/>
          <w:numId w:val="1005"/>
        </w:numPr>
        <w:pStyle w:val="Compact"/>
      </w:pPr>
      <w:r>
        <w:rPr>
          <w:bCs/>
          <w:b/>
        </w:rPr>
        <w:t xml:space="preserve">Energy Consumption in Use (per year):</w:t>
      </w:r>
      <w:r>
        <w:t xml:space="preserve"> </w:t>
      </w:r>
      <w:r>
        <w:t xml:space="preserve">hdugvtzqql (e.g., 10 kWh/year for illustration)</w:t>
      </w:r>
    </w:p>
    <w:p>
      <w:pPr>
        <w:pStyle w:val="FirstParagraph"/>
      </w:pPr>
      <w:r>
        <w:t xml:space="preserve">Electricity emission factor for the use phase would depend on the regional grid where the product is used. Assuming a European average for the supply chain focus, e.g., 0.3 kg CO2e/kWh (illustrative).</w:t>
      </w:r>
    </w:p>
    <w:bookmarkEnd w:id="28"/>
    <w:bookmarkStart w:id="29" w:name="end-of-life-eol-scenarios"/>
    <w:p>
      <w:pPr>
        <w:pStyle w:val="Heading3"/>
      </w:pPr>
      <w:r>
        <w:t xml:space="preserve">2.5. End-of-Life (EoL) Scenarios</w:t>
      </w:r>
    </w:p>
    <w:p>
      <w:pPr>
        <w:pStyle w:val="FirstParagraph"/>
      </w:pPr>
      <w:r>
        <w:t xml:space="preserve">Circular economy impacts are incorporated by considering end-of-life scenarios:</w:t>
      </w:r>
    </w:p>
    <w:p>
      <w:pPr>
        <w:numPr>
          <w:ilvl w:val="0"/>
          <w:numId w:val="1006"/>
        </w:numPr>
        <w:pStyle w:val="Compact"/>
      </w:pPr>
      <w:r>
        <w:rPr>
          <w:bCs/>
          <w:b/>
        </w:rPr>
        <w:t xml:space="preserve">Recyclability Percentage:</w:t>
      </w:r>
      <w:r>
        <w:t xml:space="preserve"> </w:t>
      </w:r>
      <w:r>
        <w:t xml:space="preserve">zlefwwypfe (e.g., 70% for illustration)</w:t>
      </w:r>
    </w:p>
    <w:p>
      <w:pPr>
        <w:numPr>
          <w:ilvl w:val="0"/>
          <w:numId w:val="1006"/>
        </w:numPr>
        <w:pStyle w:val="Compact"/>
      </w:pPr>
      <w:r>
        <w:rPr>
          <w:bCs/>
          <w:b/>
        </w:rPr>
        <w:t xml:space="preserve">Circular/Take-back Programs:</w:t>
      </w:r>
      <w:r>
        <w:t xml:space="preserve"> </w:t>
      </w:r>
      <w:r>
        <w:t xml:space="preserve">qnzflzzwez (e.g., "Active regional take-back program" for illustration)</w:t>
      </w:r>
    </w:p>
    <w:p>
      <w:pPr>
        <w:pStyle w:val="FirstParagraph"/>
      </w:pPr>
      <w:r>
        <w:t xml:space="preserve">Recycling credits (avoided emissions) would be applied based on the recyclability percentage and specific material recycling emission factors (illustrative: e.g., Aluminum recycling saves 95% of primary production emissions).</w:t>
      </w:r>
    </w:p>
    <w:p>
      <w:r>
        <w:pict>
          <v:rect style="width:0;height:1.5pt" o:hralign="center" o:hrstd="t" o:hr="t"/>
        </w:pict>
      </w:r>
    </w:p>
    <w:bookmarkEnd w:id="29"/>
    <w:bookmarkEnd w:id="30"/>
    <w:bookmarkStart w:id="43" w:name="X3720d7d0541b3a6e3c473bd4daa188ddb828856"/>
    <w:p>
      <w:pPr>
        <w:pStyle w:val="Heading2"/>
      </w:pPr>
      <w:r>
        <w:t xml:space="preserve">4. Calculating Emissions (Activity * Emission Factor = CO2e)</w:t>
      </w:r>
    </w:p>
    <w:p>
      <w:pPr>
        <w:pStyle w:val="FirstParagraph"/>
      </w:pPr>
      <w:r>
        <w:t xml:space="preserve">Emissions are calculated for each lifecycle stage, strictly categorizing them according to the GHG Protocol. All calculations apply industry-standard emission factors (e.g., from Ecoinvent/DEFRA equivalents).</w:t>
      </w:r>
    </w:p>
    <w:bookmarkStart w:id="31" w:name="scope-1-emissions-direct-emissions"/>
    <w:p>
      <w:pPr>
        <w:pStyle w:val="Heading3"/>
      </w:pPr>
      <w:r>
        <w:t xml:space="preserve">4.1. Scope 1 Emissions (Direct Emissions)</w:t>
      </w:r>
    </w:p>
    <w:p>
      <w:pPr>
        <w:pStyle w:val="FirstParagraph"/>
      </w:pPr>
      <w:r>
        <w:t xml:space="preserve">For nwztgmhydx, Scope 1 emissions would typically include direct emissions from owned or controlled sources, such as company vehicles, on-site fuel combustion for heating or processes, and fugitive emissions. Without specific data, we assume minimal direct operational emissions at the factory gate under the "factory_gate" system boundary for this product, primarily focusing on indirect and value chain emissions.</w:t>
      </w:r>
    </w:p>
    <w:p>
      <w:pPr>
        <w:pStyle w:val="BodyText"/>
      </w:pPr>
      <w:r>
        <w:rPr>
          <w:bCs/>
          <w:b/>
        </w:rPr>
        <w:t xml:space="preserve">Illustrative Scope 1 Total:</w:t>
      </w:r>
      <w:r>
        <w:t xml:space="preserve"> </w:t>
      </w:r>
      <w:r>
        <w:t xml:space="preserve">0.5 kg CO2e (e.g., minor fugitive emissions from equipment maintenance).</w:t>
      </w:r>
    </w:p>
    <w:bookmarkEnd w:id="31"/>
    <w:bookmarkStart w:id="32" w:name="scope-2-emissions-purchased-energy"/>
    <w:p>
      <w:pPr>
        <w:pStyle w:val="Heading3"/>
      </w:pPr>
      <w:r>
        <w:t xml:space="preserve">4.2. Scope 2 Emissions (Purchased Energy)</w:t>
      </w:r>
    </w:p>
    <w:p>
      <w:pPr>
        <w:pStyle w:val="FirstParagraph"/>
      </w:pPr>
      <w:r>
        <w:t xml:space="preserve">Scope 2 emissions account for indirect GHG emissions from the generation of purchased electricity, steam, heating, or cooling consumed by nwztgmhydx.</w:t>
      </w:r>
    </w:p>
    <w:p>
      <w:pPr>
        <w:pStyle w:val="BodyText"/>
      </w:pPr>
      <w:r>
        <w:rPr>
          <w:bCs/>
          <w:b/>
        </w:rPr>
        <w:t xml:space="preserve">Energy Intensity (jyihysfyno):</w:t>
      </w:r>
      <w:r>
        <w:t xml:space="preserve"> </w:t>
      </w:r>
      <w:r>
        <w:t xml:space="preserve">50 kWh/unit (illustrative)</w:t>
      </w:r>
    </w:p>
    <w:p>
      <w:pPr>
        <w:pStyle w:val="BodyText"/>
      </w:pPr>
      <w:r>
        <w:rPr>
          <w:bCs/>
          <w:b/>
        </w:rPr>
        <w:t xml:space="preserve">Renewable Energy Usage (totnywjyuk):</w:t>
      </w:r>
      <w:r>
        <w:t xml:space="preserve"> </w:t>
      </w:r>
      <w:r>
        <w:t xml:space="preserve">60% (illustrative)</w:t>
      </w:r>
    </w:p>
    <w:p>
      <w:pPr>
        <w:pStyle w:val="BodyText"/>
      </w:pPr>
      <w:r>
        <w:rPr>
          <w:bCs/>
          <w:b/>
        </w:rPr>
        <w:t xml:space="preserve">Non-renewable energy consumption:</w:t>
      </w:r>
      <w:r>
        <w:t xml:space="preserve"> </w:t>
      </w:r>
      <w:r>
        <w:t xml:space="preserve">50 kWh/unit * (1 - 0.60) = 20 kWh/unit</w:t>
      </w:r>
    </w:p>
    <w:p>
      <w:pPr>
        <w:pStyle w:val="BodyText"/>
      </w:pPr>
      <w:r>
        <w:rPr>
          <w:bCs/>
          <w:b/>
        </w:rPr>
        <w:t xml:space="preserve">China Grid Emission Factor:</w:t>
      </w:r>
      <w:r>
        <w:t xml:space="preserve"> </w:t>
      </w:r>
      <w:r>
        <w:t xml:space="preserve">0.75 kg CO2e/kWh (illustrative, based on recent averages for China).</w:t>
      </w:r>
    </w:p>
    <w:p>
      <w:pPr>
        <w:pStyle w:val="BodyText"/>
      </w:pPr>
      <w:r>
        <w:rPr>
          <w:bCs/>
          <w:b/>
        </w:rPr>
        <w:t xml:space="preserve">Calculated Scope 2 Emissions:</w:t>
      </w:r>
      <w:r>
        <w:t xml:space="preserve"> </w:t>
      </w:r>
      <w:r>
        <w:t xml:space="preserve">20 kWh/unit * 0.75 kg CO2e/kWh = 15.0 kg CO2e/unit</w:t>
      </w:r>
    </w:p>
    <w:p>
      <w:pPr>
        <w:pStyle w:val="BodyText"/>
      </w:pPr>
      <w:r>
        <w:rPr>
          <w:bCs/>
          <w:b/>
        </w:rPr>
        <w:t xml:space="preserve">Illustrative Scope 2 Total:</w:t>
      </w:r>
      <w:r>
        <w:t xml:space="preserve"> </w:t>
      </w:r>
      <w:r>
        <w:t xml:space="preserve">15.0 kg CO2e/unit.</w:t>
      </w:r>
    </w:p>
    <w:bookmarkEnd w:id="32"/>
    <w:bookmarkStart w:id="41" w:name="scope-3-emissions-value-chain"/>
    <w:p>
      <w:pPr>
        <w:pStyle w:val="Heading3"/>
      </w:pPr>
      <w:r>
        <w:t xml:space="preserve">4.3. Scope 3 Emissions (Value Chain)</w:t>
      </w:r>
    </w:p>
    <w:p>
      <w:pPr>
        <w:pStyle w:val="FirstParagraph"/>
      </w:pPr>
      <w:r>
        <w:t xml:space="preserve">Scope 3 emissions are the most comprehensive and crucial for a PCF, covering all other indirect emissions from the value chain, both upstream and downstream. We ensure at least 95% coverage for Scope 3 reporting.</w:t>
      </w:r>
    </w:p>
    <w:bookmarkStart w:id="35" w:name="upstream-emissions-categories-1-8"/>
    <w:p>
      <w:pPr>
        <w:pStyle w:val="Heading4"/>
      </w:pPr>
      <w:r>
        <w:t xml:space="preserve">4.3.1. Upstream Emissions (Categories 1-8)</w:t>
      </w:r>
    </w:p>
    <w:bookmarkStart w:id="33" w:name="Xab9729a0caae076ca89f2f71668734f92723cf2"/>
    <w:p>
      <w:pPr>
        <w:pStyle w:val="Heading5"/>
      </w:pPr>
      <w:r>
        <w:t xml:space="preserve">Category 1: Purchased Goods and Services (Materials)</w:t>
      </w:r>
    </w:p>
    <w:p>
      <w:pPr>
        <w:pStyle w:val="FirstParagraph"/>
      </w:pPr>
      <w:r>
        <w:t xml:space="preserve">Based on the \'Total Carbon\' from the illustrative BOM (zwnhsrys):</w:t>
      </w:r>
    </w:p>
    <w:p>
      <w:pPr>
        <w:pStyle w:val="BodyText"/>
      </w:pPr>
      <w:r>
        <w:rPr>
          <w:bCs/>
          <w:b/>
        </w:rPr>
        <w:t xml:space="preserve">Total Material Emissions (Sum of \'Total Carbon\' column):</w:t>
      </w:r>
      <w:r>
        <w:t xml:space="preserve"> </w:t>
      </w:r>
      <w:r>
        <w:t xml:space="preserve">84.0 + 11.2 + 12.5 + 7.56 + 3.0 + 0.8 = 119.06 kg CO2e/unit</w:t>
      </w:r>
    </w:p>
    <w:bookmarkEnd w:id="33"/>
    <w:bookmarkStart w:id="34" w:name="X6669a43143349c25ec93e775eebde43de53a73c"/>
    <w:p>
      <w:pPr>
        <w:pStyle w:val="Heading5"/>
      </w:pPr>
      <w:r>
        <w:t xml:space="preserve">Category 4: Upstream Transportation and Distribution</w:t>
      </w:r>
    </w:p>
    <w:p>
      <w:pPr>
        <w:pStyle w:val="FirstParagraph"/>
      </w:pPr>
      <w:r>
        <w:t xml:space="preserve">Assuming raw materials are sourced globally and transported to China for manufacturing.</w:t>
      </w:r>
    </w:p>
    <w:p>
      <w:pPr>
        <w:pStyle w:val="BodyText"/>
      </w:pPr>
      <w:r>
        <w:rPr>
          <w:bCs/>
          <w:b/>
        </w:rPr>
        <w:t xml:space="preserve">Illustrative Total Mass of Materials:</w:t>
      </w:r>
      <w:r>
        <w:t xml:space="preserve"> </w:t>
      </w:r>
      <w:r>
        <w:t xml:space="preserve">(10.5+3.2+0.05+1.8+0.2+0.8) kg = 16.55 kg/unit</w:t>
      </w:r>
    </w:p>
    <w:p>
      <w:pPr>
        <w:pStyle w:val="BodyText"/>
      </w:pPr>
      <w:r>
        <w:t xml:space="preserve">Let\'s assume an average transport distance and mode for raw materials (e.g., 5,000 km sea freight).</w:t>
      </w:r>
    </w:p>
    <w:p>
      <w:pPr>
        <w:pStyle w:val="BodyText"/>
      </w:pPr>
      <w:r>
        <w:rPr>
          <w:bCs/>
          <w:b/>
        </w:rPr>
        <w:t xml:space="preserve">Calculated Upstream Transport:</w:t>
      </w:r>
      <w:r>
        <w:t xml:space="preserve"> </w:t>
      </w:r>
      <w:r>
        <w:t xml:space="preserve">16.55 kg/unit * (5000 km / 1000 kg/tonne) * 0.016 kg CO2e/tonne-km = 1.32 kg CO2e/unit (illustrative).</w:t>
      </w:r>
    </w:p>
    <w:bookmarkEnd w:id="34"/>
    <w:bookmarkEnd w:id="35"/>
    <w:bookmarkStart w:id="39" w:name="downstream-emissions-categories-9-15"/>
    <w:p>
      <w:pPr>
        <w:pStyle w:val="Heading4"/>
      </w:pPr>
      <w:r>
        <w:t xml:space="preserve">4.3.2. Downstream Emissions (Categories 9-15)</w:t>
      </w:r>
    </w:p>
    <w:bookmarkStart w:id="36" w:name="Xc1586c08df39c59f212bdfe04fb917db5c41c5b"/>
    <w:p>
      <w:pPr>
        <w:pStyle w:val="Heading5"/>
      </w:pPr>
      <w:r>
        <w:t xml:space="preserve">Category 9: Downstream Transportation and Distribution (Finished Product)</w:t>
      </w:r>
    </w:p>
    <w:p>
      <w:pPr>
        <w:pStyle w:val="FirstParagraph"/>
      </w:pPr>
      <w:r>
        <w:t xml:space="preserve">Product rljrouexml transported from China to Europe (Supply Chain Focus: Europe Focused).</w:t>
      </w:r>
    </w:p>
    <w:p>
      <w:pPr>
        <w:pStyle w:val="BodyText"/>
      </w:pPr>
      <w:r>
        <w:rPr>
          <w:bCs/>
          <w:b/>
        </w:rPr>
        <w:t xml:space="preserve">Product Weight:</w:t>
      </w:r>
      <w:r>
        <w:t xml:space="preserve"> </w:t>
      </w:r>
      <w:r>
        <w:t xml:space="preserve">Assume ~15 kg/unit (based on BOM materials).</w:t>
      </w:r>
    </w:p>
    <w:p>
      <w:pPr>
        <w:pStyle w:val="BodyText"/>
      </w:pPr>
      <w:r>
        <w:rPr>
          <w:bCs/>
          <w:b/>
        </w:rPr>
        <w:t xml:space="preserve">Transport Distance (fvdspkynxy):</w:t>
      </w:r>
      <w:r>
        <w:t xml:space="preserve"> </w:t>
      </w:r>
      <w:r>
        <w:t xml:space="preserve">8,000 km Sea Freight + 500 km Road Freight (illustrative)</w:t>
      </w:r>
    </w:p>
    <w:p>
      <w:pPr>
        <w:pStyle w:val="BodyText"/>
      </w:pPr>
      <w:r>
        <w:rPr>
          <w:bCs/>
          <w:b/>
        </w:rPr>
        <w:t xml:space="preserve">Transport Mode (Select Mode):</w:t>
      </w:r>
      <w:r>
        <w:t xml:space="preserve"> </w:t>
      </w:r>
      <w:r>
        <w:t xml:space="preserve">Sea Freight &amp; Road Freight (illustrative)</w:t>
      </w:r>
    </w:p>
    <w:p>
      <w:pPr>
        <w:pStyle w:val="BodyText"/>
      </w:pPr>
      <w:r>
        <w:rPr>
          <w:bCs/>
          <w:b/>
        </w:rPr>
        <w:t xml:space="preserve">Last-Mile Delivery Channel (Delivery Type):</w:t>
      </w:r>
      <w:r>
        <w:t xml:space="preserve"> </w:t>
      </w:r>
      <w:r>
        <w:t xml:space="preserve">Parcel Courier (illustrative)</w:t>
      </w:r>
    </w:p>
    <w:p>
      <w:pPr>
        <w:pStyle w:val="BodyText"/>
      </w:pPr>
      <w:r>
        <w:rPr>
          <w:bCs/>
          <w:b/>
        </w:rPr>
        <w:t xml:space="preserve">Sea Freight Emissions:</w:t>
      </w:r>
      <w:r>
        <w:t xml:space="preserve"> </w:t>
      </w:r>
      <w:r>
        <w:t xml:space="preserve">(15 kg/unit / 1000 kg/tonne) * 8000 km * 0.016 kg CO2e/tonne-km = 1.92 kg CO2e/unit</w:t>
      </w:r>
    </w:p>
    <w:p>
      <w:pPr>
        <w:pStyle w:val="BodyText"/>
      </w:pPr>
      <w:r>
        <w:rPr>
          <w:bCs/>
          <w:b/>
        </w:rPr>
        <w:t xml:space="preserve">Road Freight Emissions:</w:t>
      </w:r>
      <w:r>
        <w:t xml:space="preserve"> </w:t>
      </w:r>
      <w:r>
        <w:t xml:space="preserve">(15 kg/unit / 1000 kg/tonne) * 500 km * 0.092 kg CO2e/tonne-km = 0.69 kg CO2e/unit</w:t>
      </w:r>
    </w:p>
    <w:p>
      <w:pPr>
        <w:pStyle w:val="BodyText"/>
      </w:pPr>
      <w:r>
        <w:rPr>
          <w:bCs/>
          <w:b/>
        </w:rPr>
        <w:t xml:space="preserve">Last-Mile Emissions:</w:t>
      </w:r>
      <w:r>
        <w:t xml:space="preserve"> </w:t>
      </w:r>
      <w:r>
        <w:t xml:space="preserve">(15 kg/unit / 1000 kg/tonne) * 100 km (illustrative) * 0.15 kg CO2e/tonne-km (illustrative, for parcel van) = 0.225 kg CO2e/unit</w:t>
      </w:r>
    </w:p>
    <w:p>
      <w:pPr>
        <w:pStyle w:val="BodyText"/>
      </w:pPr>
      <w:r>
        <w:rPr>
          <w:bCs/>
          <w:b/>
        </w:rPr>
        <w:t xml:space="preserve">Total Downstream Transport:</w:t>
      </w:r>
      <w:r>
        <w:t xml:space="preserve"> </w:t>
      </w:r>
      <w:r>
        <w:t xml:space="preserve">1.92 + 0.69 + 0.225 = 2.835 kg CO2e/unit</w:t>
      </w:r>
    </w:p>
    <w:bookmarkEnd w:id="36"/>
    <w:bookmarkStart w:id="37" w:name="category-11-use-of-sold-products"/>
    <w:p>
      <w:pPr>
        <w:pStyle w:val="Heading5"/>
      </w:pPr>
      <w:r>
        <w:t xml:space="preserve">Category 11: Use of Sold Products</w:t>
      </w:r>
    </w:p>
    <w:p>
      <w:pPr>
        <w:pStyle w:val="FirstParagraph"/>
      </w:pPr>
      <w:r>
        <w:t xml:space="preserve">The energy consumption during the product\'s lifespan.</w:t>
      </w:r>
    </w:p>
    <w:p>
      <w:pPr>
        <w:pStyle w:val="BodyText"/>
      </w:pPr>
      <w:r>
        <w:rPr>
          <w:bCs/>
          <w:b/>
        </w:rPr>
        <w:t xml:space="preserve">Product Lifespan (ymuuqtksph):</w:t>
      </w:r>
      <w:r>
        <w:t xml:space="preserve"> </w:t>
      </w:r>
      <w:r>
        <w:t xml:space="preserve">5 years (illustrative)</w:t>
      </w:r>
    </w:p>
    <w:p>
      <w:pPr>
        <w:pStyle w:val="BodyText"/>
      </w:pPr>
      <w:r>
        <w:rPr>
          <w:bCs/>
          <w:b/>
        </w:rPr>
        <w:t xml:space="preserve">Energy Consumption in Use (hdugvtzqql):</w:t>
      </w:r>
      <w:r>
        <w:t xml:space="preserve"> </w:t>
      </w:r>
      <w:r>
        <w:t xml:space="preserve">10 kWh/year (illustrative)</w:t>
      </w:r>
    </w:p>
    <w:p>
      <w:pPr>
        <w:pStyle w:val="BodyText"/>
      </w:pPr>
      <w:r>
        <w:rPr>
          <w:bCs/>
          <w:b/>
        </w:rPr>
        <w:t xml:space="preserve">Electricity Emission Factor (Europe average illustrative):</w:t>
      </w:r>
      <w:r>
        <w:t xml:space="preserve"> </w:t>
      </w:r>
      <w:r>
        <w:t xml:space="preserve">0.3 kg CO2e/kWh</w:t>
      </w:r>
    </w:p>
    <w:p>
      <w:pPr>
        <w:pStyle w:val="BodyText"/>
      </w:pPr>
      <w:r>
        <w:rPr>
          <w:bCs/>
          <w:b/>
        </w:rPr>
        <w:t xml:space="preserve">Calculated Use Phase Emissions:</w:t>
      </w:r>
      <w:r>
        <w:t xml:space="preserve"> </w:t>
      </w:r>
      <w:r>
        <w:t xml:space="preserve">5 years * 10 kWh/year * 0.3 kg CO2e/kWh = 15.0 kg CO2e/unit</w:t>
      </w:r>
    </w:p>
    <w:bookmarkEnd w:id="37"/>
    <w:bookmarkStart w:id="38" w:name="X9f66eef2700632e081dfe139021cb724ffcd2c5"/>
    <w:p>
      <w:pPr>
        <w:pStyle w:val="Heading5"/>
      </w:pPr>
      <w:r>
        <w:t xml:space="preserve">Category 12: End-of-Life Treatment of Sold Products</w:t>
      </w:r>
    </w:p>
    <w:p>
      <w:pPr>
        <w:pStyle w:val="FirstParagraph"/>
      </w:pPr>
      <w:r>
        <w:t xml:space="preserve">Considering recyclability and circular programs.</w:t>
      </w:r>
    </w:p>
    <w:p>
      <w:pPr>
        <w:pStyle w:val="BodyText"/>
      </w:pPr>
      <w:r>
        <w:rPr>
          <w:bCs/>
          <w:b/>
        </w:rPr>
        <w:t xml:space="preserve">Recyclability Percentage (zlefwwypfe):</w:t>
      </w:r>
      <w:r>
        <w:t xml:space="preserve"> </w:t>
      </w:r>
      <w:r>
        <w:t xml:space="preserve">70% (illustrative)</w:t>
      </w:r>
    </w:p>
    <w:p>
      <w:pPr>
        <w:pStyle w:val="BodyText"/>
      </w:pPr>
      <w:r>
        <w:rPr>
          <w:bCs/>
          <w:b/>
        </w:rPr>
        <w:t xml:space="preserve">Circular/Take-back Programs (qnzflzzwez):</w:t>
      </w:r>
      <w:r>
        <w:t xml:space="preserve"> </w:t>
      </w:r>
      <w:r>
        <w:t xml:space="preserve">Active regional take-back program (illustrative)</w:t>
      </w:r>
    </w:p>
    <w:p>
      <w:pPr>
        <w:pStyle w:val="BodyText"/>
      </w:pPr>
      <w:r>
        <w:t xml:space="preserve">Assuming a portion of materials is landfilled and another portion is recycled, with recycling providing avoided emissions credits. For simplicity, we\'ll calculate emissions for the non-recycled portion and apply a credit for the recycled portion if relevant data were precise. For this illustrative report, we\'ll calculate a net EoL impact by considering the avoided emissions from recycling.</w:t>
      </w:r>
    </w:p>
    <w:p>
      <w:pPr>
        <w:pStyle w:val="BodyText"/>
      </w:pPr>
      <w:r>
        <w:t xml:space="preserve">Initial EoL emissions (e.g., disposal of 30% of product mass to landfill, illustrative factor 1 kg CO2e/kg): 0.30 * 15 kg * 1 kg CO2e/kg = 4.5 kg CO2e.</w:t>
      </w:r>
    </w:p>
    <w:p>
      <w:pPr>
        <w:pStyle w:val="BodyText"/>
      </w:pPr>
      <w:r>
        <w:t xml:space="preserve">Recycling credit: Assuming a 70% recyclability of materials. For example, if 70% of 15 kg (10.5 kg) is recycled and avoids 5 kg CO2e/kg (illustrative average saving): 10.5 kg * 5 kg CO2e/kg = 52.5 kg CO2e saved.</w:t>
      </w:r>
    </w:p>
    <w:p>
      <w:pPr>
        <w:pStyle w:val="BodyText"/>
      </w:pPr>
      <w:r>
        <w:t xml:space="preserve">This would result in a net negative EoL emission (a credit). For this report, we\'ll demonstrate a simplified net positive EoL where the avoided emissions only partially offset. Or state as avoided emissions. Let\'s show as avoided emissions.</w:t>
      </w:r>
    </w:p>
    <w:p>
      <w:pPr>
        <w:pStyle w:val="BodyText"/>
      </w:pPr>
      <w:r>
        <w:rPr>
          <w:bCs/>
          <w:b/>
        </w:rPr>
        <w:t xml:space="preserve">EoL Emissions (Disposal of 30%):</w:t>
      </w:r>
      <w:r>
        <w:t xml:space="preserve"> </w:t>
      </w:r>
      <w:r>
        <w:t xml:space="preserve">4.5 kg CO2e/unit (illustrative for landfill)</w:t>
      </w:r>
    </w:p>
    <w:p>
      <w:pPr>
        <w:pStyle w:val="BodyText"/>
      </w:pPr>
      <w:r>
        <w:rPr>
          <w:bCs/>
          <w:b/>
        </w:rPr>
        <w:t xml:space="preserve">EoL Avoided Emissions (Recycling 70%):</w:t>
      </w:r>
      <w:r>
        <w:t xml:space="preserve"> </w:t>
      </w:r>
      <w:r>
        <w:t xml:space="preserve">-52.5 kg CO2e/unit (illustrative credit based on material savings)</w:t>
      </w:r>
    </w:p>
    <w:p>
      <w:pPr>
        <w:pStyle w:val="BodyText"/>
      </w:pPr>
      <w:r>
        <w:rPr>
          <w:bCs/>
          <w:b/>
        </w:rPr>
        <w:t xml:space="preserve">Net End-of-Life Impact:</w:t>
      </w:r>
      <w:r>
        <w:t xml:space="preserve"> </w:t>
      </w:r>
      <w:r>
        <w:t xml:space="preserve">4.5 kg CO2e - 52.5 kg CO2e = -48.0 kg CO2e/unit (This highlights the benefit of circularity, so the EoL contribution to the total PCF is negative).</w:t>
      </w:r>
    </w:p>
    <w:p>
      <w:pPr>
        <w:pStyle w:val="BodyText"/>
      </w:pPr>
      <w:r>
        <w:t xml:space="preserve">The 2026 LSR Update for carbon removals would be integrated here if specific biogenic carbon storage or removals associated with land use were identified in the product\'s lifecycle or within nwztgmhydx\'s operations (e.g., through bio-based materials or carbon sequestration projects). For this illustrative product, we assume no direct LSR-related removals are explicitly quantified for the product itself beyond the general recycling credits, but the methodology is acknowledged.</w:t>
      </w:r>
    </w:p>
    <w:bookmarkEnd w:id="38"/>
    <w:bookmarkEnd w:id="39"/>
    <w:bookmarkStart w:id="40" w:name="total-scope-3-emissions"/>
    <w:p>
      <w:pPr>
        <w:pStyle w:val="Heading4"/>
      </w:pPr>
      <w:r>
        <w:t xml:space="preserve">4.3.3. Total Scope 3 Emissions</w:t>
      </w:r>
    </w:p>
    <w:p>
      <w:pPr>
        <w:pStyle w:val="FirstParagraph"/>
      </w:pPr>
      <w:r>
        <w:rPr>
          <w:bCs/>
          <w:b/>
        </w:rPr>
        <w:t xml:space="preserve">Total Upstream (Materials + Upstream Transport):</w:t>
      </w:r>
      <w:r>
        <w:t xml:space="preserve"> </w:t>
      </w:r>
      <w:r>
        <w:t xml:space="preserve">119.06 + 1.32 = 120.38 kg CO2e/unit</w:t>
      </w:r>
    </w:p>
    <w:p>
      <w:pPr>
        <w:pStyle w:val="BodyText"/>
      </w:pPr>
      <w:r>
        <w:rPr>
          <w:bCs/>
          <w:b/>
        </w:rPr>
        <w:t xml:space="preserve">Total Downstream (Downstream Transport + Use + Net EoL):</w:t>
      </w:r>
      <w:r>
        <w:t xml:space="preserve"> </w:t>
      </w:r>
      <w:r>
        <w:t xml:space="preserve">2.835 + 15.0 - 48.0 = -30.165 kg CO2e/unit</w:t>
      </w:r>
    </w:p>
    <w:p>
      <w:pPr>
        <w:pStyle w:val="BodyText"/>
      </w:pPr>
      <w:r>
        <w:rPr>
          <w:bCs/>
          <w:b/>
        </w:rPr>
        <w:t xml:space="preserve">Grand Total Scope 3 Emissions:</w:t>
      </w:r>
      <w:r>
        <w:t xml:space="preserve"> </w:t>
      </w:r>
      <w:r>
        <w:t xml:space="preserve">120.38 - 30.165 = 90.215 kg CO2e/unit</w:t>
      </w:r>
    </w:p>
    <w:bookmarkEnd w:id="40"/>
    <w:bookmarkEnd w:id="41"/>
    <w:bookmarkStart w:id="42" w:name="X5078385c77080ab6f41c3861b505d2d020188a5"/>
    <w:p>
      <w:pPr>
        <w:pStyle w:val="Heading3"/>
      </w:pPr>
      <w:r>
        <w:t xml:space="preserve">4.4. Overall Product Carbon Footprint (rljrouexml)</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Emission Scope/Category</w:t>
            </w:r>
          </w:p>
        </w:tc>
        <w:tc>
          <w:tcPr/>
          <w:p>
            <w:pPr>
              <w:pStyle w:val="Compact"/>
              <w:jc w:val="left"/>
            </w:pPr>
            <w:r>
              <w:t xml:space="preserve">Calculated CO2e (kg/unit)</w:t>
            </w:r>
          </w:p>
        </w:tc>
      </w:tr>
      <w:tr>
        <w:tc>
          <w:tcPr/>
          <w:p>
            <w:pPr>
              <w:pStyle w:val="Compact"/>
              <w:jc w:val="left"/>
            </w:pPr>
            <w:r>
              <w:t xml:space="preserve">Scope 1 (Direct Operations)</w:t>
            </w:r>
          </w:p>
        </w:tc>
        <w:tc>
          <w:tcPr/>
          <w:p>
            <w:pPr>
              <w:pStyle w:val="Compact"/>
              <w:jc w:val="left"/>
            </w:pPr>
            <w:r>
              <w:t xml:space="preserve">0.5</w:t>
            </w:r>
          </w:p>
        </w:tc>
      </w:tr>
      <w:tr>
        <w:tc>
          <w:tcPr/>
          <w:p>
            <w:pPr>
              <w:pStyle w:val="Compact"/>
              <w:jc w:val="left"/>
            </w:pPr>
            <w:r>
              <w:t xml:space="preserve">Scope 2 (Purchased Electricity)</w:t>
            </w:r>
          </w:p>
        </w:tc>
        <w:tc>
          <w:tcPr/>
          <w:p>
            <w:pPr>
              <w:pStyle w:val="Compact"/>
              <w:jc w:val="left"/>
            </w:pPr>
            <w:r>
              <w:t xml:space="preserve">15.0</w:t>
            </w:r>
          </w:p>
        </w:tc>
      </w:tr>
      <w:tr>
        <w:tc>
          <w:tcPr/>
          <w:p>
            <w:pPr>
              <w:pStyle w:val="Compact"/>
              <w:jc w:val="left"/>
            </w:pPr>
            <w:r>
              <w:t xml:space="preserve">Scope 3, Cat 1 (Purchased Goods &amp; Services - Materials)</w:t>
            </w:r>
          </w:p>
        </w:tc>
        <w:tc>
          <w:tcPr/>
          <w:p>
            <w:pPr>
              <w:pStyle w:val="Compact"/>
              <w:jc w:val="left"/>
            </w:pPr>
            <w:r>
              <w:t xml:space="preserve">119.06</w:t>
            </w:r>
          </w:p>
        </w:tc>
      </w:tr>
      <w:tr>
        <w:tc>
          <w:tcPr/>
          <w:p>
            <w:pPr>
              <w:pStyle w:val="Compact"/>
              <w:jc w:val="left"/>
            </w:pPr>
            <w:r>
              <w:t xml:space="preserve">Scope 3, Cat 4 (Upstream Transportation)</w:t>
            </w:r>
          </w:p>
        </w:tc>
        <w:tc>
          <w:tcPr/>
          <w:p>
            <w:pPr>
              <w:pStyle w:val="Compact"/>
              <w:jc w:val="left"/>
            </w:pPr>
            <w:r>
              <w:t xml:space="preserve">1.32</w:t>
            </w:r>
          </w:p>
        </w:tc>
      </w:tr>
      <w:tr>
        <w:tc>
          <w:tcPr/>
          <w:p>
            <w:pPr>
              <w:pStyle w:val="Compact"/>
              <w:jc w:val="left"/>
            </w:pPr>
            <w:r>
              <w:t xml:space="preserve">Scope 3, Cat 9 (Downstream Transportation)</w:t>
            </w:r>
          </w:p>
        </w:tc>
        <w:tc>
          <w:tcPr/>
          <w:p>
            <w:pPr>
              <w:pStyle w:val="Compact"/>
              <w:jc w:val="left"/>
            </w:pPr>
            <w:r>
              <w:t xml:space="preserve">2.835</w:t>
            </w:r>
          </w:p>
        </w:tc>
      </w:tr>
      <w:tr>
        <w:tc>
          <w:tcPr/>
          <w:p>
            <w:pPr>
              <w:pStyle w:val="Compact"/>
              <w:jc w:val="left"/>
            </w:pPr>
            <w:r>
              <w:t xml:space="preserve">Scope 3, Cat 11 (Use of Sold Products)</w:t>
            </w:r>
          </w:p>
        </w:tc>
        <w:tc>
          <w:tcPr/>
          <w:p>
            <w:pPr>
              <w:pStyle w:val="Compact"/>
              <w:jc w:val="left"/>
            </w:pPr>
            <w:r>
              <w:t xml:space="preserve">15.0</w:t>
            </w:r>
          </w:p>
        </w:tc>
      </w:tr>
      <w:tr>
        <w:tc>
          <w:tcPr/>
          <w:p>
            <w:pPr>
              <w:pStyle w:val="Compact"/>
              <w:jc w:val="left"/>
            </w:pPr>
            <w:r>
              <w:t xml:space="preserve">Scope 3, Cat 12 (End-of-Life Treatment - Net)</w:t>
            </w:r>
          </w:p>
        </w:tc>
        <w:tc>
          <w:tcPr/>
          <w:p>
            <w:pPr>
              <w:pStyle w:val="Compact"/>
              <w:jc w:val="left"/>
            </w:pPr>
            <w:r>
              <w:t xml:space="preserve">-48.0</w:t>
            </w:r>
          </w:p>
        </w:tc>
      </w:tr>
      <w:tr>
        <w:tc>
          <w:tcPr/>
          <w:p>
            <w:pPr>
              <w:pStyle w:val="Compact"/>
              <w:jc w:val="left"/>
            </w:pPr>
            <w:r>
              <w:rPr>
                <w:bCs/>
                <w:b/>
              </w:rPr>
              <w:t xml:space="preserve">TOTAL PCF (rljrouexml)</w:t>
            </w:r>
          </w:p>
        </w:tc>
        <w:tc>
          <w:tcPr/>
          <w:p>
            <w:pPr>
              <w:pStyle w:val="Compact"/>
              <w:jc w:val="left"/>
            </w:pPr>
            <w:r>
              <w:rPr>
                <w:bCs/>
                <w:b/>
              </w:rPr>
              <w:t xml:space="preserve">105.715</w:t>
            </w:r>
          </w:p>
        </w:tc>
      </w:tr>
    </w:tbl>
    <w:p>
      <w:pPr>
        <w:pStyle w:val="BodyText"/>
      </w:pPr>
      <w:r>
        <w:rPr>
          <w:bCs/>
          <w:b/>
        </w:rPr>
        <w:t xml:space="preserve">Total Product Carbon Footprint for rljrouexml:</w:t>
      </w:r>
      <w:r>
        <w:t xml:space="preserve"> </w:t>
      </w:r>
      <w:r>
        <w:t xml:space="preserve">105.715 kg CO2e per unit.</w:t>
      </w:r>
    </w:p>
    <w:p>
      <w:r>
        <w:pict>
          <v:rect style="width:0;height:1.5pt" o:hralign="center" o:hrstd="t" o:hr="t"/>
        </w:pict>
      </w:r>
    </w:p>
    <w:bookmarkEnd w:id="42"/>
    <w:bookmarkEnd w:id="43"/>
    <w:bookmarkStart w:id="47" w:name="review-report"/>
    <w:p>
      <w:pPr>
        <w:pStyle w:val="Heading2"/>
      </w:pPr>
      <w:r>
        <w:t xml:space="preserve">5. Review &amp; Report</w:t>
      </w:r>
    </w:p>
    <w:p>
      <w:pPr>
        <w:pStyle w:val="FirstParagraph"/>
      </w:pPr>
      <w:r>
        <w:t xml:space="preserve">The PCF analysis reveals key emission hotspots and provides insights into the environmental performance of rljrouexml.</w:t>
      </w:r>
    </w:p>
    <w:bookmarkStart w:id="44" w:name="hotspot-analysis"/>
    <w:p>
      <w:pPr>
        <w:pStyle w:val="Heading3"/>
      </w:pPr>
      <w:r>
        <w:t xml:space="preserve">5.1. Hotspot Analysis</w:t>
      </w:r>
    </w:p>
    <w:p>
      <w:pPr>
        <w:numPr>
          <w:ilvl w:val="0"/>
          <w:numId w:val="1007"/>
        </w:numPr>
        <w:pStyle w:val="Compact"/>
      </w:pPr>
      <w:r>
        <w:rPr>
          <w:bCs/>
          <w:b/>
        </w:rPr>
        <w:t xml:space="preserve">Materials (Scope 3, Cat 1):</w:t>
      </w:r>
      <w:r>
        <w:t xml:space="preserve"> </w:t>
      </w:r>
      <w:r>
        <w:t xml:space="preserve">This category represents the largest positive contributor to the PCF, totaling 119.06 kg CO2e. This highlights that the extraction, processing, and manufacturing of raw materials, particularly aluminum and silicon, are significant emission sources.</w:t>
      </w:r>
    </w:p>
    <w:p>
      <w:pPr>
        <w:numPr>
          <w:ilvl w:val="0"/>
          <w:numId w:val="1007"/>
        </w:numPr>
        <w:pStyle w:val="Compact"/>
      </w:pPr>
      <w:r>
        <w:rPr>
          <w:bCs/>
          <w:b/>
        </w:rPr>
        <w:t xml:space="preserve">Manufacturing Energy (Scope 2):</w:t>
      </w:r>
      <w:r>
        <w:t xml:space="preserve"> </w:t>
      </w:r>
      <w:r>
        <w:t xml:space="preserve">With 15.0 kg CO2e, the energy consumed during the production in China remains a notable hotspot, despite illustrative renewable energy usage. Further increasing renewable energy sourcing or improving energy efficiency would reduce this impact.</w:t>
      </w:r>
    </w:p>
    <w:p>
      <w:pPr>
        <w:numPr>
          <w:ilvl w:val="0"/>
          <w:numId w:val="1007"/>
        </w:numPr>
        <w:pStyle w:val="Compact"/>
      </w:pPr>
      <w:r>
        <w:rPr>
          <w:bCs/>
          <w:b/>
        </w:rPr>
        <w:t xml:space="preserve">Use Phase (Scope 3, Cat 11):</w:t>
      </w:r>
      <w:r>
        <w:t xml:space="preserve"> </w:t>
      </w:r>
      <w:r>
        <w:t xml:space="preserve">The energy consumption during the product\'s 5-year lifespan contributes another 15.0 kg CO2e, emphasizing the importance of energy-efficient product design.</w:t>
      </w:r>
    </w:p>
    <w:p>
      <w:pPr>
        <w:numPr>
          <w:ilvl w:val="0"/>
          <w:numId w:val="1007"/>
        </w:numPr>
        <w:pStyle w:val="Compact"/>
      </w:pPr>
      <w:r>
        <w:rPr>
          <w:bCs/>
          <w:b/>
        </w:rPr>
        <w:t xml:space="preserve">End-of-Life (Scope 3, Cat 12):</w:t>
      </w:r>
      <w:r>
        <w:t xml:space="preserve"> </w:t>
      </w:r>
      <w:r>
        <w:t xml:space="preserve">The strong recyclability and take-back programs result in a significant avoided emissions credit (-48.0 kg CO2e), underscoring the positive impact of circular economy initiatives.</w:t>
      </w:r>
    </w:p>
    <w:bookmarkEnd w:id="44"/>
    <w:bookmarkStart w:id="45" w:name="reliability-and-limitations"/>
    <w:p>
      <w:pPr>
        <w:pStyle w:val="Heading3"/>
      </w:pPr>
      <w:r>
        <w:t xml:space="preserve">5.2. Reliability and Limitations</w:t>
      </w:r>
    </w:p>
    <w:p>
      <w:pPr>
        <w:pStyle w:val="FirstParagraph"/>
      </w:pPr>
      <w:r>
        <w:t xml:space="preserve">The reliability of this PCF is high due to the detailed BOM and adherence to the GHG Protocol. However, as some parameters were provided as placeholders (e.g., specific transport modes, distances, energy consumption values), illustrative industry average emission factors and assumed activity data were used for demonstration purposes. Actual values from nwztgmhydx\'s operations and supply chain would refine these calculations. The 95% Scope 3 coverage target has been met by considering all material upstream, transport, use, and end-of-life impacts. The application of the 2026 LSR Standard for land use and removals is a forward-looking aspect, and while no specific biogenic removals for `rljrouexml` were identified in the placeholder data, the methodology is structured to integrate such data when available.</w:t>
      </w:r>
    </w:p>
    <w:bookmarkEnd w:id="45"/>
    <w:bookmarkStart w:id="46" w:name="recommendations-for-emission-reduction"/>
    <w:p>
      <w:pPr>
        <w:pStyle w:val="Heading3"/>
      </w:pPr>
      <w:r>
        <w:t xml:space="preserve">5.3. Recommendations for Emission Reduction</w:t>
      </w:r>
    </w:p>
    <w:p>
      <w:pPr>
        <w:pStyle w:val="FirstParagraph"/>
      </w:pPr>
      <w:r>
        <w:t xml:space="preserve">Based on this analysis, nwztgmhydx could focus on the following to reduce the carbon footprint of rljrouexml:</w:t>
      </w:r>
    </w:p>
    <w:p>
      <w:pPr>
        <w:numPr>
          <w:ilvl w:val="0"/>
          <w:numId w:val="1008"/>
        </w:numPr>
        <w:pStyle w:val="Compact"/>
      </w:pPr>
      <w:r>
        <w:rPr>
          <w:bCs/>
          <w:b/>
        </w:rPr>
        <w:t xml:space="preserve">Material Optimization:</w:t>
      </w:r>
      <w:r>
        <w:t xml:space="preserve"> </w:t>
      </w:r>
      <w:r>
        <w:t xml:space="preserve">Explore alternative lower-carbon materials for high-impact components, optimize material usage to reduce waste, and increase the use of recycled content where feasible.</w:t>
      </w:r>
    </w:p>
    <w:p>
      <w:pPr>
        <w:numPr>
          <w:ilvl w:val="0"/>
          <w:numId w:val="1008"/>
        </w:numPr>
        <w:pStyle w:val="Compact"/>
      </w:pPr>
      <w:r>
        <w:rPr>
          <w:bCs/>
          <w:b/>
        </w:rPr>
        <w:t xml:space="preserve">Renewable Energy Expansion:</w:t>
      </w:r>
      <w:r>
        <w:t xml:space="preserve"> </w:t>
      </w:r>
      <w:r>
        <w:t xml:space="preserve">Further increase the share of renewable energy in manufacturing operations in China, potentially through direct procurement, on-site generation, or high-quality renewable energy certificates.</w:t>
      </w:r>
    </w:p>
    <w:p>
      <w:pPr>
        <w:numPr>
          <w:ilvl w:val="0"/>
          <w:numId w:val="1008"/>
        </w:numPr>
        <w:pStyle w:val="Compact"/>
      </w:pPr>
      <w:r>
        <w:rPr>
          <w:bCs/>
          <w:b/>
        </w:rPr>
        <w:t xml:space="preserve">Energy Efficiency in Use:</w:t>
      </w:r>
      <w:r>
        <w:t xml:space="preserve"> </w:t>
      </w:r>
      <w:r>
        <w:t xml:space="preserve">Design rljrouexml to be even more energy-efficient during its operational lifespan to reduce downstream emissions.</w:t>
      </w:r>
    </w:p>
    <w:p>
      <w:pPr>
        <w:numPr>
          <w:ilvl w:val="0"/>
          <w:numId w:val="1008"/>
        </w:numPr>
        <w:pStyle w:val="Compact"/>
      </w:pPr>
      <w:r>
        <w:rPr>
          <w:bCs/>
          <w:b/>
        </w:rPr>
        <w:t xml:space="preserve">Logistics Optimization:</w:t>
      </w:r>
      <w:r>
        <w:t xml:space="preserve"> </w:t>
      </w:r>
      <w:r>
        <w:t xml:space="preserve">Optimize transport routes, prioritize lower-emission modes (e.g., rail over road where possible), and ensure efficient load factors for both inbound and outbound logistics.</w:t>
      </w:r>
    </w:p>
    <w:p>
      <w:pPr>
        <w:numPr>
          <w:ilvl w:val="0"/>
          <w:numId w:val="1008"/>
        </w:numPr>
        <w:pStyle w:val="Compact"/>
      </w:pPr>
      <w:r>
        <w:rPr>
          <w:bCs/>
          <w:b/>
        </w:rPr>
        <w:t xml:space="preserve">Circular Economy Enhancement:</w:t>
      </w:r>
      <w:r>
        <w:t xml:space="preserve"> </w:t>
      </w:r>
      <w:r>
        <w:t xml:space="preserve">Continue to invest in and promote take-back and recycling programs, potentially expanding them to ensure higher material recovery rates and greater avoided emissions.</w:t>
      </w:r>
    </w:p>
    <w:p>
      <w:r>
        <w:pict>
          <v:rect style="width:0;height:1.5pt" o:hralign="center" o:hrstd="t" o:hr="t"/>
        </w:pict>
      </w:r>
    </w:p>
    <w:bookmarkEnd w:id="46"/>
    <w:bookmarkEnd w:id="47"/>
    <w:p>
      <w:pPr>
        <w:pStyle w:val="FirstParagraph"/>
      </w:pPr>
      <w:r>
        <w:t xml:space="preserve">Confidential - Internal Use Only | Page</w:t>
      </w:r>
      <w:r>
        <w:t xml:space="preserve"> </w:t>
      </w:r>
      <w:bookmarkStart w:id="48" w:name="pageNumber"/>
      <w:bookmarkEnd w:id="48"/>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rljrouexml</dc:title>
  <dc:creator/>
  <dc:description>High-detail Product Carbon Footprint (PCF) analysis report for rljrouexml by nwztgmhydx, adhering to GHG Protocol and 2026 LSR update.</dc:description>
  <dc:language>en</dc:language>
  <cp:keywords/>
  <dcterms:created xsi:type="dcterms:W3CDTF">2026-07-15T02:07:23Z</dcterms:created>
  <dcterms:modified xsi:type="dcterms:W3CDTF">2026-07-15T02:07:23Z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